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Agape Care Limited - Milton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Agape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Milton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April 2019</w:t>
      </w:r>
      <w:bookmarkEnd w:id="7"/>
      <w:r w:rsidRPr="009418D4">
        <w:rPr>
          <w:rFonts w:cs="Arial"/>
        </w:rPr>
        <w:tab/>
        <w:t xml:space="preserve">End date: </w:t>
      </w:r>
      <w:bookmarkStart w:id="8" w:name="AuditEndDate"/>
      <w:r w:rsidR="00A4268A">
        <w:rPr>
          <w:rFonts w:cs="Arial"/>
        </w:rPr>
        <w:t>16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Milton Court Rest Home is privately owned and operated.  The rest home provides rest home and dementia level of care for up to 36 residents.  On the day of the audit there were 33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and other documentation; the review of residents and staff files; observations and interviews with residents, staff, management and a general practitioner.  </w:t>
      </w:r>
    </w:p>
    <w:p w:rsidRPr="00A4268A">
      <w:pPr>
        <w:spacing w:before="240" w:line="276" w:lineRule="auto"/>
        <w:rPr>
          <w:rFonts w:eastAsia="Calibri"/>
        </w:rPr>
      </w:pPr>
      <w:r w:rsidRPr="00A4268A">
        <w:rPr>
          <w:rFonts w:eastAsia="Calibri"/>
        </w:rPr>
        <w:t>The owner/manager (registered nurse) is on site during the week with another registered nurse providing clinical oversight.  The residents and relatives spoke positively about the care and supports provided at Milton Court Rest Home.</w:t>
      </w:r>
    </w:p>
    <w:p w:rsidRPr="00A4268A">
      <w:pPr>
        <w:spacing w:before="240" w:line="276" w:lineRule="auto"/>
        <w:rPr>
          <w:rFonts w:eastAsia="Calibri"/>
        </w:rPr>
      </w:pPr>
      <w:r w:rsidRPr="00A4268A">
        <w:rPr>
          <w:rFonts w:eastAsia="Calibri"/>
        </w:rPr>
        <w:t xml:space="preserve">Improvements identified at the audit are required to the following: review of policies; and environment shortfalls.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displayed at reception with pamphlets given to residents and family on entry.  Policies are implemented to support rights such as privacy, dignity, abuse and neglect, culture, values and beliefs, complaints, advocacy and informed consent.  Care planning accommodates individual choices of residents and/or their family.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Milton Court Rest Home is implementing a quality and risk management system.  Key components of the quality management system include management of complaints, implementation of an internal audit schedule, annual satisfaction surveys, incidents and accidents, review of infections, review of risk and monitoring of health and safety including hazards.  </w:t>
      </w:r>
    </w:p>
    <w:p w:rsidRPr="00A4268A">
      <w:pPr>
        <w:spacing w:before="240" w:line="276" w:lineRule="auto"/>
        <w:rPr>
          <w:rFonts w:eastAsia="Calibri"/>
        </w:rPr>
      </w:pPr>
      <w:r w:rsidRPr="00A4268A">
        <w:rPr>
          <w:rFonts w:eastAsia="Calibri"/>
        </w:rPr>
        <w:t xml:space="preserve">Human resources policies are in place, including a documented rationale for determining staffing levels and skill mixes.  There is a roster that provides sufficient and appropriate coverage for the effective delivery of care and there are staff on duty at all times to meet needs of residents in both the rest home and dementia unit.  There is an implemented orientation programme that provides new staff with relevant information for safe work practice.  The annual training plan is implemented.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are responsible for the administration of medicines.  Medication charts are reviewed three monthly by the general practitioner.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commented positively on the meals.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Appropriate training, information and equipment for responding to emergencies are provided.  There is an approved evacuation scheme and emergency supplies in the event of an emergency.  There is a staff member on duty at all times who has completed first aid training.  A call bell system is operational and responded to in a timely manner.   </w:t>
      </w:r>
    </w:p>
    <w:p w:rsidRPr="00A4268A">
      <w:pPr>
        <w:spacing w:before="240" w:line="276" w:lineRule="auto"/>
        <w:rPr>
          <w:rFonts w:eastAsia="Calibri"/>
        </w:rPr>
      </w:pPr>
      <w:r w:rsidRPr="00A4268A">
        <w:rPr>
          <w:rFonts w:eastAsia="Calibri"/>
        </w:rPr>
        <w:t>Chemicals are stored safely throughout the facility.  Appropriate policies and product safety charts are available.  The building holds a current warrant of fitness.  There is one ensuite and fifteen rooms with toilets.  All other rooms share communal showers/toilets.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maintains a restraint-free environment.  There are policies and procedures to follow if restraint or enablers are required.  There were no residents using restraints or enablers during the audit and the service has maintained a restraint free environment for seven years.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04"/>
        <w:gridCol w:w="1280"/>
        <w:gridCol w:w="88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align with the requirements of the Code of Health and Disability Services Consumer Rights (the Code) (link 1.2.3.3).  Staff interviewed (two healthcare assistants who work across all shifts and both areas, the registered nurse, owner/manager, cook, activities coordinator, maintenance, laundry and cleaning staff) can describe how they incorporate resident choice into their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residents (rest home) and four relatives (one rest home and three with family in the dementia level of care) interviewed, confirmed that information has been provided around the Health and Disability Commissioner's (HDC) Code of Health and Disability Services Consumers' Rights (the Code).  They all stated that their rights are respected when receiving resident related services and care.  Residents and family confirmed that they received information around the Code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and resuscitation consent forms were evident on all resident files reviewed (three rest home and three dementia).  Discussions with staff confirmed that they are familiar with the requirements to obtain informed consent for entering rooms and personal care.  Enduring power of attorney (EPOA) evidence is filed in the residents’ charts.  In the dementia unit all residents sampled had activated EPOAs.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provided with a copy of The Health and Disability Commissioner Code of Health and Disability Services Consumers’ Rights (the Code) and advocacy pamphlets on entry.  Resident advocates are identified during the admission process.  Pamphlets on advocacy services are available at the facility entrance.  Interviews with the residents and relatives confirmed their understanding of the availability of advocacy services.  Staff receives education and training on the role of advocacy services.  Care staff interviewed were aware of the resident’s right to advocacy services and how to access the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 and friends are encouraged to visit the home and are not restricted to visiting times.  Rest home residents interviewed confirmed that family and friends can visit at any time and visitors were observed attending the dementia unit on the days of audit.  Residents and relatives verified that they have been supported and encouraged to remain involved in the community.  The service has a van and group outings are provided.  Community groups visit the home as part of the activities programme.  Activity and care staff take residents from the rest home and dementia unit out walking in the community in the morning and afternoon.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both verbal and written is maintained by the manager using a complaints’ register.  There have been no complaints for 2018 or 2019 since the previous audit.  There have been two complaints to date and these were in 2016.  The complaints have been managed in line with Right 10 of the Code.  A review of complaints documentation evidenced resolution of the complaint to the satisfaction of the complainant and advocacy offered.  Residents and family members advised that they were aware of the complaint’s procedure.  Discussion around concerns, complaints and compliments were evident in facility meeting minutes.  Concerns/complaints forms are available at the front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available information on the Code of Health and Disability Services Consumers’ Rights.  The Code of Rights (in English and Māori) is clearly displayed at the main entrance to the rest home.  There is a welcome information folder that includes information about the Code of Rights.  The resident, family or legal representative has an opportunity to discuss this prior to entry and/or at admission with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registered nurse are available to discuss concerns with residents and families at any time.  Residents and relatives stated they receive enough verbal and written information to be able to make informed choices on matters that affect them or their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(link 1.2.3.3).  The residents’ personal belongings are used to decorate their rooms.  All rooms, except one, were single occupancy during the audit with the larger two bed room currently occupied by a couple.  Adequate space is available for discussions of a private nature.  The healthcare assistants interviewed, reported that they knock on bedroom doors prior to entering rooms, and ensure doors are shut when cares are being given.  Staff were observed knocking on doors before entering the resident rooms during the audit.  All residents interviewed confirmed that their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private information is kept in a secure area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(link 1.2.3.3).  Staff have received training on abuse and neglect prevention in 2018.  The registered nurse and owner/manager stated that there is no evidence of any abuse or neglect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for residents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policy to guide staff in the delivery of culturally safe care (link 1.2.3.3).  The staff interviewed could describe how Māori interests, customs, beliefs, cultural and ethnic backgrounds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aware of the need to respond to cultural differences.  The registered nurse and owner/manager confirmed that they would access providers in the community or through the district health board if they need to have additional cultural support or advice.  Links are established with a local kaumātua who can support the service (eg, to provide blessings of rooms after a death or to provide links into local iwi).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identified as Māori on the day of the audit.  Cultural and spiritual needs were assessed with a Māori health plan documented.  There is a staff member who can speak Māori with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last received training on cultural awareness in 2018.  Staff value and encourage active participation and input of the family/whānau in the day-to-day care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documented in the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r w:rsidRPr="00BE00C7">
              <w:rPr>
                <w:rFonts w:cs="Arial"/>
                <w:b w:val="0"/>
                <w:lang w:eastAsia="en-NZ"/>
              </w:rPr>
              <w:t>The staff emphasised a focus on using signs and body language for residents who have difficulty communicating.  Staff also described using simple language and giving simple choices for residents who have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do not have English as a first language.  The owner/manager and staff stated that they would use interpreting services through the district health board as required.  Residents are encouraged and supported to attend church services and other community groups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implementation of policies and processes around boundaries relating to discrimination, abuse and neglect, harassment, and exploitation (link 1.2.3.3).  Training includes discussion of the staff code of conduct and prevention of inappropriate care.  Staff interviewed stated that they were aware of the policies and were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Staff comply with confidentiality and the code of conduct.  Job descriptions include responsibilities of the position with a job description sighted in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and employee agreement provided to staff on induction includes standards of conduct.  Interviews with staff confirmed their understanding of professional boundaries, including the boundaries of the healthcare assistant’s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that they would formally complain to management if they felt that they were discriminated against.  There were no complaints recorded in the complaints register since the last audit relating to any form of discrimination or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described being committed to providing services of a high standard, based on the service philosophy of care and shared values.  This was observed during the day with the staff demonstrating a caring attitude towards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families interviewed spoke positively about the care provided.  The general practitioner was very satisfied with the care provided and stated that any issues were escalated in a timely manner and staff give information required.  There are policies and procedures which have been developed in the past by an external consultant (link 1.2.3.3).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 sound understanding of principles of aged care and stated that they feel supported by the registered nurse and owner/manager.  Monthly meetings enhance communication between the teams and provide consistency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 were aware of the open-door policy and confirmed on interview that the staff and management were approachable and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can feedback on service delivery through three monthly resident and relative meetings and annual surveys.  Meeting minutes evidenced that previous matters are discussed and closed out as concerns are resolved.  Accident/incident forms reviewed evidenced that relatives had been informed promptly of any incidents/accidents; family interviewed confirmed that they were notified of any changes to resident’s health status and were kept well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must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around both the rest home and dementia units and models of care.  The welcome pack included a pamphlet around dementia care.  Family stated that they were well informed around the need for a secure unit for people with dementia.  All residents and family interviewed stated that they had received information on entry to the service both verbally and in a written format.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Milton Court Rest Home provides rest home level of care and dementia level of care for up to 36 residents.  There are 16 rest home beds and 20 dementia care beds.  On the day of audit there were 15 rest home residents and 18 residents in the dementia unit.  There was one younger person under a long-term chronic health condition contract.  All other residents were under the Aged Residential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Milton Court is privately owned and operated by one director/joint owner of the company since 2014.  The director/joint owner is referred to as the owner/manager and is a registered nurse (RN) with a current practicing certificate.  The other joint owner has responsibilities for the building maintenance and is the facility health and safety officer.  The owner/manager is responsible for the daily operation of the business and is on site at least two days a week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supported by a full-time registered nurse who has been at Milton Court since graduation in 2014.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business plan in place for 2019 which identifies the philosophy of care, mission statement, business objectives and specific aims for the service.  The 2018 business goals and objectives have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maintained at least eight hours annually of professional development related to managing a rest home and dementia care facility.  Professional development includes attending district health board manager meetings three times a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provides day-to-day operational management and can provide clinical oversight and hands-on support for residents when needed.  They provide cover for the registered nurse when they are on leave.  The registered nurse has completed at least eight hours of training relevant to the role and they provide clinical oversight of the service on a day-to-day basis.  The RN provides cover for the owner/manager when they are on leave.  The owner/manager stated that they would also remain in phone contact with the registered nurse while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have been developed by an external consultant.  These have not been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has been implemented.  Audit summaries and corrective action plans are documented where a noncompliance is identified.  Issues and outcomes are reported and discussed at the staff meeting.  Corrective action plans reviewed showed documentation of resolution of issues with these closed out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staff meeting includes discussion around all aspects of the quality programme including incidents, accidents, complaints, health and safety, infection control, clinical issues, staffing, survey results and discussion of improvements.  The meeting serves as a forum to review progress towards goals documented in the quality plan.  Discussions with the registered nurse, the owner/manager and staff, confirmed their involvement in the quality programme.  Resident/relative meetings are held quarterly.  The rest home residents interviewed confirmed that they value these meetings as a forum used to raise issues and to discuss any improvements or suggestions.  All stated that they were kept well informed of any risks or improvements, and if issues, these were resolved in a timely manner.  Meeting minutes showed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for residents and relatives.  The September 2018 results showed that all residents and relatives who responded were satisfied or very satisfied with the service provided.  This correlates with the responses from residents and relatives interviewed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follow-up where required.  The joint owner is responsible for building maintenance and is a health and safety officer who has completed level one and two of health and safety qualifications.  Staff complete hazard forms for identified hazards which are reviewed by the health and safety officer.  All hazard forms reviewed showed evidence of resolution of issues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risk management and health and safety framework, there is an accident/incident policy.  Eight incidents from November 2018 to day of audit were reviewed.  All incident forms identified timely review by the registered nurse both of the incident and of the resident.  Corrective actions to minimise resident risk were documented.  Incident forms had been signed off with evidence that appropriate actions had been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could discuss the incident reporting process.  The owner/manager and registered nurse interviewed could describe situations that would require reporting to relevant authorities.  There have been no reportable events to any external authorities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(link 1.2.3.3).  Five staff files were reviewed (registered nurse, three healthcare assistants and the cook) and included all appropriate documentation.  Staffing levels are stable with some staff having been employed for over six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practising certificates is kept on record.  The owner/manager and registered nurse have a current annual practicing certificate along with other health professionals who visit the service (general practitioner, pharmacist, podiatrist,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are completed to validate the individual’s qualifications, experience and skills.  Reference checks are now being carried out for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are conducted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in-service calendar for 2019 which exceeded eight hours annually for staff who attended the 2018 training offered.  There has been an emphasis on finding training to suit staff and the service is now using on-line training.  Completion of this is closely monitored by the registered nurse who also sits with some staff for whom English is a second language to help with understanding of the topic.  There is now 100% completion of the topics that have been offered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ten healthcare assistants working in the dementia care unit.  Six have completed the required dementia unit standards; three are in the process of completing the required dementia unit standards and one is enrolled.  One other part time staff member has completed some shifts in the dementia unit.  Currently they are not enrolled in the course but are always placed on duty with a senior healthcare assistant who has completed the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the registered nurse are both interRAI trained.  The registered nurse completes most of the interRAI assessments and the owner/manager is able to provide support when required or if the registered nurse is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human resources policy determines staffing levels and skill mixes for safe service delivery.  There is a roster that provides sufficient and appropriate coverage for the effective delivery of care and support.  The registered nurse is on duty during the day Monday to Friday and shares the on-call responsibility with the owner/manager.  An experienced healthcare assistant is the day supervisor who coordinates the team of healthcare assistants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enough staff numbers in the rest home and the dementia care unit that meets contractual requirements.  This includes two staff on each shift in the dementia unit and one on each shift in the rest home.  The registered nurse provides support at all times across both the rest home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always adequate staff on duty.  Staff stated they feel supported by the owner/manager and the RN who respond quickly to after-hours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policies and procedures had been adhered to.  There are no standing orders.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blister pack system.  Medications are checked on arrival and any pharmacy errors recorded and fed back to the supplying pharmacy.  RNs and senior medication competent HCAs administer medications.  All staff have up to date medication competencies and there has been medication education this year.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sheets.  Twelve medication charts were reviewed.  Medications are reviewed at least three 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Tuesday to Saturday and one cook who works Sundays and Mondays.  There is a kitchenhand on each day from 0700-1300 and 1600-1830.  The head cook has a current food safety certificate.  The weekend cook is completing one.  The head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served in the dining rooms from bain maries.  Meals going to rooms on trays have covers to keep the food warm.  Special equipment such as lipped plates is available.  On the first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The four-weekly menu cycle is approved by a dietitian.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is currently being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are not limited to) nutrition, pain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hospice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on accident forms and written in the progress notes.  Neurological observations are completed for unwitnessed falls or falls where residents hit their heads.</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documented, and wound monitoring occurs as planned.  There are currently two wounds being treated One chronic wound has had input from the GP and Hospice.  There are currently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activities coordinator who works five days a week; an activities assistant who works three mornings during the week; and a second activities assistant who works three and a half days a week including Saturdays, with most of the time spent in the dementia unit.  All activities staff attend study days and the activities programme is checked by an occupational therapist annually.  On the days of audit rest home residents were observed going for walks, enjoying pet therapy, watching ‘The Chase’ on TV and listening to a musical entertainer.  In the dementia unit, residents were observed doing puzzles, going for walks, folding linen and listening to music.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whiteboards.  The programme in the dementia unit can vary from the printed programme due to residents’ mood and fatigue.   Residents have the choice of a variety of activities in which to participate, and every effort is made to ensure activities are meaningful and tailored to residents’ needs.  These include exercises, games, quizzes, music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Residents who wish to attend church go out with their families/friends, but Catholic volunteers come in to give communion weekly.</w:t>
            </w:r>
          </w:p>
          <w:p w:rsidR="00EB7645" w:rsidRPr="00BE00C7" w:rsidP="00BE00C7">
            <w:pPr>
              <w:pStyle w:val="OutcomeDescription"/>
              <w:spacing w:before="120" w:after="120"/>
              <w:rPr>
                <w:rFonts w:cs="Arial"/>
                <w:b w:val="0"/>
                <w:lang w:eastAsia="en-NZ"/>
              </w:rPr>
            </w:pPr>
            <w:r w:rsidRPr="00BE00C7">
              <w:rPr>
                <w:rFonts w:cs="Arial"/>
                <w:b w:val="0"/>
                <w:lang w:eastAsia="en-NZ"/>
              </w:rPr>
              <w:t>Currently there are no van outings as the weather has been so nice that residents are walking or being pushed in wheelchairs to the beach (one block away).  Van outings will start again as soon as the weather changes.</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entertainers visiting the facility.  Special events such as birthdays, Easter, Anzac Day, and Queens’s birthday are recognised and celebrated.  Residents are currently doing some Easter craft work.  There is pet therapy weekly.  There is community input from volunteers who come in weekly to have one-on–one chats.  One rest home resident goes to CMA twice weekly and one resident goes to a singing group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three monthly.  Residents interviewed stated that they enjoy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care plans reviewed had been evaluated by the registered nurses six monthly or when changes to care occurs.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mental health services for older people and the hospice.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datasheets and product sheets are available.  A sharps container is available and meets the hazardous substances regulations for containers.  The hazard register identifies hazardous substances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June 2019.  There is a maintenance person who works eight hours a week over two days.  They are assisted by the co-owner.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scales are checked annually.  Hot water temperatures have been monitored randomly in resident areas and were within the acceptable range.  The rest home communal lounges, hallways and bedrooms are carpeted.  The dementia communal lounges, hallways and bedrooms have vinyl.   Corridors are wide, have safety rails and promote safe mobility with the use of mobility aids.  Residents were observed moving freely around the areas with mobility aids where required.  The external areas and gardens were well maintained.  There is an enclosed outdoor area for one of the dementia units.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double room has an ensuite.  Fifteen rooms in the rest home have toilets and three in the dementia units.  There are sufficient communal toilets and showers.  Fixtures, fittings and flooring are appropriate.  Toilet/shower facilities are easy to clean.  There is ample space in toilet and shower areas to accommodate shower chairs.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room in the rest home and this is occupied by a married couple.  All other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lounges/dining areas are large.  There are small nooks where residents who prefer quieter activities or visitors may sit.  Activities occur in the larger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datasheets.  Personal protective equipment is available.  Cleaning and laundry services are monitored through the internal auditing system.  The cleaners’ equipment was attended at all times or locked away.  All chemicals on the cleaner’s trolley were labelled.  There is one sluice room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Civil defence supplies, adequate food and water and a barbeque for alternative cooking are available.  Emergency supplies are held in both the dementia unit and in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fire evacuations are held.  There is an approved fire evacuation plan dated 21 June 1996 with this reviewed by the New Zealand Fire Service on 4 December 2018.  There have been no building changes.  The rosters checked for February to April 2018 confirmed that there is a staff member with a first aid certificate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When a call bell is activated, it can be heard and seen in any part of the building (rest home or dementia unit).  This ensures that any staff can receive extra support at any time.  There is a backup system of whistles which are kept in case the call bell system has a technical fault.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policies and procedures are documented and implemented by staff.  The dementia unit is safe and secure with outdoor access to gardens (link 1.4.2.1).  The buildings are secure with 24-hour intercom access to request entry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one outdoor area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(RN) who is responsible for infection control across the facility.  The coordinator liaises with and reports to the owner/manager.  The responsibility for infection control is described in the job description.  The coordinator collates monthly infection events and reports.  The infection control programme is reviewed annually by the IC coordinator and the owner/manager.</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 very experienced RN.  They have access to infection control expertise within the DHB,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and there is training planned for 2019.  Resident education occurs as part of providing daily cares and as applicable at resident meetings.  The service can access an online training programme which is available for the IC coordinator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owner/manager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The owner/manager and registered nurse both operate as the restraint coordinators.  On the day of the audit there were no residents using restraints or enablers.  Restraint education and challenging behaviours is included in the annual training programme and occurred in 2018 for all care staff.  The service has been restraint free since 2012.  However, it was noted that the residents in the dementia unit were restricted to being able to access an outdoor area when the door within the unit was locked making the unit into two units instead of one.  This potentially is environmental restraint (link 1.4.2.1)</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9"/>
        <w:gridCol w:w="1280"/>
        <w:gridCol w:w="6840"/>
        <w:gridCol w:w="2073"/>
        <w:gridCol w:w="14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that have been developed by an external consultant.  Some have been reviewed last in 2015, however others are outdated with some having not been reviewed since 2012.  Staff are familiar with the current policies and are knowledgeable around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have not been reviewed in response to changes in legislation or at regular intervals e.g. two to three yearly.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policies are reviewed at regular intervals (eg, two to three yearly or as changes to legislation or practice occurs).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buildings, plant and equipment comply with legislation.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is a servery that directly opens on to the dining room/lounge of the dementia unit.  It has a low serving shelf between the kitchen and the lounge/dining area and there is no barrier such as a shutter between the facility kitchen and the dementia unit.  There is a potential risk because residents could access the kitchen at any time through the servery.  The registered nurse and owner/manager stated that there have been no incidents of residents accessing the kitchen through the servery in the past 12 years.  The owner/manager stated that they had considered the servery as a potential risk in 2014 and some options had been considered at that time, however these interventions had not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at times separated by a door within the unit that is locked by a pin code (noting that if the door is locked, there is always a staff member in each ‘wing’.  Access to the secure outdoor garden is through one of the wings.  Then the wings are separated by the locked door, the residents in the second wing cannot access a secure garden/outdoor area.  Staff interviewed stated the door was often locked to make two separate units to manage residents with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 the dementia unit, the facility kitchen servery opens on to the dining room/lounge area.  There is no barrier to close off the servery.  A crock pot was also noted be sitting in arms reach through the servery opening.</w:t>
            </w:r>
          </w:p>
          <w:p w:rsidR="00EB7645" w:rsidRPr="00BE00C7" w:rsidP="00BE00C7">
            <w:pPr>
              <w:pStyle w:val="OutcomeDescription"/>
              <w:spacing w:before="120" w:after="120"/>
              <w:rPr>
                <w:rFonts w:cs="Arial"/>
                <w:b w:val="0"/>
                <w:lang w:eastAsia="en-NZ"/>
              </w:rPr>
            </w:pPr>
            <w:r w:rsidRPr="00BE00C7">
              <w:rPr>
                <w:rFonts w:cs="Arial"/>
                <w:b w:val="0"/>
                <w:lang w:eastAsia="en-NZ"/>
              </w:rPr>
              <w:t>(ii) When divided into two wings, one does not have access to an enclosed outdoor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there is safety for residents at all times when in the lounge/dining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residents in the dementia unit have access to an enclosed outdoor area at all times.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Agape Care Limited - Milton Court Rest Home</w:t>
    </w:r>
    <w:bookmarkEnd w:id="58"/>
    <w:r>
      <w:rPr>
        <w:rFonts w:cs="Arial"/>
        <w:sz w:val="16"/>
        <w:szCs w:val="20"/>
      </w:rPr>
      <w:tab/>
      <w:t xml:space="preserve">Date of Audit: </w:t>
    </w:r>
    <w:bookmarkStart w:id="59" w:name="AuditStartDate1"/>
    <w:r>
      <w:rPr>
        <w:rFonts w:cs="Arial"/>
        <w:sz w:val="16"/>
        <w:szCs w:val="20"/>
      </w:rPr>
      <w:t>15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