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Ranburn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Ranburn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April 2019</w:t>
      </w:r>
      <w:bookmarkEnd w:id="7"/>
      <w:r w:rsidRPr="009418D4">
        <w:rPr>
          <w:rFonts w:cs="Arial"/>
        </w:rPr>
        <w:tab/>
        <w:t xml:space="preserve">End date: </w:t>
      </w:r>
      <w:bookmarkStart w:id="8" w:name="AuditEndDate"/>
      <w:r w:rsidR="00A4268A">
        <w:rPr>
          <w:rFonts w:cs="Arial"/>
        </w:rPr>
        <w:t>1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Ranburn provides rest home, hospital and dementia care for up to 71 residents. The service is operated by Ultimate Care Group Ltd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contracted physiotherapist and a general practitioner. </w:t>
      </w:r>
    </w:p>
    <w:p w:rsidRPr="00A4268A">
      <w:pPr>
        <w:spacing w:before="240" w:line="276" w:lineRule="auto"/>
        <w:rPr>
          <w:rFonts w:eastAsia="Calibri"/>
        </w:rPr>
      </w:pPr>
      <w:r w:rsidRPr="00A4268A">
        <w:rPr>
          <w:rFonts w:eastAsia="Calibri"/>
        </w:rPr>
        <w:t xml:space="preserve">This audit identified one area requiring improvement relating to storage of chemicals and hazardous substances. A significant improvement in a number of areas previously identified as requiring improvement in recent audits, was noted by the audit team.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is governed by the Ultimate Care Group Ltd who are responsible for the services provided. Organisational business and quality and risk management plans include the scope, direction, goals, values and mission statement across the organisation. Monitoring of the services provided to the governing body is regular and effective. An experienced and suitably qualified person, who has now been in the role for six months,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resident/whānau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whānau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implemented by two activities assistants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At the time of audit the facility is restraint free with no residents using either restraint or enablers. A comprehensive assessment, approval and monitoring process with regular reviews is in place if required. Use of any enablers is voluntary for the safety of residents in response to individual requests. Staff demonstrated a sound knowledge and understanding of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90"/>
        <w:gridCol w:w="1280"/>
        <w:gridCol w:w="91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Ranburn has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(EPOA) requirements and processes for residents unable to consent is defined and documented where relevant in the resident’s file. Staff demonstrated their understanding by being able to explain situations when this may occur. All files reviewed in the secure unit had an activated EPOA in place.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 An Advocate from the Health and Disability Advocacy Service attends the residents’ meetings twice yearly or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eight complaints have been received over the past year and that actions taken, through to an agreed resolution, are documented and completed within the timeframes. Action plans showed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A representative from the advocacy service attends residents’ meetings twice yearly.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of Ultimate Care Ranburn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during discussions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four residents in Ultimate Care Ranburn at the time of audit who identify as Māori, in addition to a number of staff who identify as Māori. Interviews verify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Ultimate Care Ranburn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The survey, though poorly responded to, evidenced respondents identified cultural needs were met by Ultimate Care Ranburn.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hospice/palliative care team, physiotherapist, district nurses, psychiatric services for older people, and ongoing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development through the organisation enabling staff access to online learning hubs, to support contemporary good practice. Monthly in-service education is provided on site for staff, and records evidenced a high level of attendance.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reducing the use of restraints, an improvement in meeting contractual obligations, compliance with standards, and improvements in staff, residents and family satisfaction with care provided by Ultimate Care Ranburn.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Northland District Health Board (NDHB) when required. Several staff and family members can assist through the multicultural nature of the surrounding community. Staff reported external interpreter services were rarely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current business plan is in draft and the facility manager is working with the regional manager to finalise the document. The documents include annual and longer term objectives and the associated operational plans. A sample of monthly reports sent to the national office showed adequate information to monitor performance is reported including financial performance, emerging risks and issues, progress on quality indicators, training, occupancy rates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(FM) who holds relevant qualifications and has been in the role for six months. She has had significant prior experience in a similar roles previously. Responsibilities and accountabilities are defined in a job description and individual employment agreement. The FM is well supported by the regional manager with regular phone calls and visits. The FM confirmed knowledge of the sector, regulatory and reporting requirements and maintains currency through the regular training opportunities the national office provides.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MoH and ACC for the 65 residents were receiving services under the contracts at the time of audit. There were 25 rest home level residents, one who is under the Long Term Chronic Health contract, 22 hospital level of which two are funded by ACC and one MoH non-aged residential care respite resident and 18 dementia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The contracts held with the funders are for aged residential care services, long term chronic health conditions, residential non- aged care and respite care. Six rooms also have approval to be used as dual-purpose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the clinical services manager (CSM) carries out all the required duties under delegated authority. During absences of key clinical staff, the clinical management is overseen by senior RN’s who are experienced in the sector and able to take responsibility for any clinical issues that may arise. Any longer absences by the CSM are covered by the Ultimate Care Group ‘floating’ clinical manager.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The organisation’s national system is used by the facility to report on all quality areas, which includes management of incidents and complaints, audit activities, a regular resident and family satisfaction survey, monitoring of outcomes and clinical incidents including infections and restraint. Data is then collated and analysed with trends identified and subsequently the FM uses the data, which is benchmarked against other facilities in the group, to identify areas for any corrective action planning and other quality activity.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the quality indicators and related information is reported and discussed at the clinical management team meetings, the monthly quality and risk team meetings and staff meetings. Staff reported their involvement in quality and risk management activities through the internal audit activities and the regular staff meetings and subsequent review of all minutes. Relevant corrective actions are developed and implemented to address any shortfalls. Resident and family satisfaction surveys are completed annually. The most recent survey showed a poor response rate and the FM is working on a number of ways in which to increase participation in this year’s survey. Resident meeting minutes showed some previous dissatisfaction with the evening meals. The chef and the management team worked together to change menus and include more variety which has been well received by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Policies where updates have occurred, are circulated to all staff who must sign off that these have been seen.  </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the processes for the identification, monitoring, review and reporting of risks and development of mitigation strategies. The manager is familiar with the Health and Safety at Work Act (2015) and has implemented requirements. The two health and safety staff representatives have completed recent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which is then entered into the organisational electronic system. A sample of incidents forms reviewed showed these were fully completed, incidents were investigated, action plans developed and actions followed-up in a timely manner.  Adverse event data is collated, analysed and reported to the national office where it is also benchmarked against other facilities in the organisation. The relevant graphs are displayed in the staff room for all staff to monitor with any corrective actions implemented as required. Evidence reviewed showed the use of magnetic sensor alarms has been successful in reducing falls for a number of residents in recent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essential notification reporting requirements, including for pressure injuries.  They advised there has been one notification of a pressure injury made to HealthCERT and one incident of self-harm reported to relevant authorities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Six RNs are now interRAI trained with another two currently completing the training. Care staff have either completed or commenced a New Zealand Qualification Authority education programme to meet the requirements of the provider’s agreement with the DHB. A staff member is an internal assessor for the programme, with another soon to qualify. Staff working in the dementia care area have either completed or are enrolled in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 The FM has implemented an alert system to ensure all appraisals are now completed as required, following previous issues with timeliness.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with RN’s consulting with the CSM and the FM to ensure coverage is appropriate for all rosters.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five weekly roster cycles confirmed adequate staff cover has been provided, with staff replaced in any unplanned absence using a small casual pool, current staff or agency staff.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A previous corrective action (refer criterion 1.3.3.1) regarding a resident being placed in the secure unit without an assessment has been addressed. All residents’ files reviewed had up to date assessments and approvals to provide services.</w:t>
            </w:r>
          </w:p>
          <w:p w:rsidR="00EB7645" w:rsidRPr="00BE00C7" w:rsidP="00BE00C7">
            <w:pPr>
              <w:pStyle w:val="OutcomeDescription"/>
              <w:spacing w:before="120" w:after="120"/>
              <w:rPr>
                <w:rFonts w:cs="Arial"/>
                <w:b w:val="0"/>
                <w:lang w:eastAsia="en-NZ"/>
              </w:rPr>
            </w:pPr>
            <w:r w:rsidRPr="00BE00C7">
              <w:rPr>
                <w:rFonts w:cs="Arial"/>
                <w:b w:val="0"/>
                <w:lang w:eastAsia="en-NZ"/>
              </w:rPr>
              <w:t>Prospective residents and/or their families are encouraged to visit the facility prior to admission and meet with the facility manager (FM)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NDHB’s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members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All twenty medication files reviewed verified the GP medication reviews were up to date. This finding addresses a previous corrective action, whereby not all medication reviews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meet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 verification audit of the food control plan was undertaken on 4th April 2019. No areas requiring corrective actions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at any hour day or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Ultimate Care Ranburn are initially assessed using a range nursing assessment tools such as pain scale, falls risk, skin integrity, nutritional screening and depression scale to identify any deficits and to inform initial care planning. An activities and physiotherapy assessment are also undertaken during the first week of admission.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Except for the respite and ACC residents, interRAI assessments are completed within three weeks of admission and at least six monthly unless the resident’s condition changes. Interviews, documentation and observation verified the RNs are familiar with requirement for reassessment of a resident using the interRAI assessment tool when a resident has increasing or changing need levels. </w:t>
              <w:br/>
              <w:br/>
              <w:t>All residents have current interRAI assessments completed by one of nine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All care plans reviewed in the secure unit, had behaviour management plans that included triggers and management strategies for managing episodes of behaviours that challenge. Behaviour monitoring charts monitored the effectiveness of strategies.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good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now provided by one activity co-ordinator and a diversional therapist (DT). The DT is at present on leave from the full-time role, and a casual recreation co-ordinator is providing relief cover. The activities co-ordinator providing the activities in the secure unit, has the programme overseen by the DT and is mentored by her each week until the DT returns to Ultimate Care Ranburn.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an exercise programme, visiting entertainers, quiz sessions, walks, café visits, church services, gardening and daily news updates. The activities programme is discussed at the minuted residents’ and family meetings and indicated residents’ input is sought and responded to. Resident and family satisfaction surveys demonstrated satisfaction and that information is used to improve the range of activities offered.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secure unit have a twenty-four-hour care plan in place that identifies activities to be provided at times when episodes of behaviours the challenge occur. Residents in the hospital who are socially isolated are supported to meet their needs by the activities team. Interviews with one of two residents under 65 years, verified they are supported by Ultimate Care Ranburn to access attendance in community events as they require. Residents and families interviewed confirmed they find the programme meets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CSM sends a referral to seek specialist input. Copies of referrals were sighted in residents’ files, including to psychiatric services for older people. Referrals are followed up on a regular basis by the CSM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generally follow documented processes for the management of waste and infectious and hazardous substances, however there was instances of outside doors being open when the laundry, cleaners’ room and maintenance areas were temporarily attended.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date1 August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decks and other external areas are safely maintained and appropriate to the resident groups and setting. In the dementia wing all areas were secure and safe. Purposeful walking was encouraged with safe access to outside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and that requests are appropriately actioned.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12 rest home rooms with their own ensuites, toilets in most of other rooms with shared showers on a ratio of one shower per three residents. The hospital has six bathrooms with one large bathroom able to accommodate a bath trolley and two rooms with ensuites.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handrails are provided in the toilet/shower areas, and other equipment/accessories are available to promote residents’ independence.  A number of the toilet handrails are an older model and are not placed in the best positions to facilitate maximum independence. The FM has now included the replacement and upgrading of all of these in the ongoing maintenance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ample room to store mobility aids, wheelchairs and mobility scooters with a number of alcove areas between all rooms able to accommodate these easily.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activities room, library, dining and lounge areas are very spacious and enable easy access for residents and staff.  Residents can access areas for privacy in a significant number of areas available throughout the facility if required. These were observed to be well used when residents and visitors wanted some quiet areas.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and by family members if requested by residents for personal items. The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a lockable room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regularly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20 October 1999. A trial evacuation takes place six-monthly with a copy sent to the New Zealand Fire Service, the most recent being on 22 February 2019. The orientation programme includes fire and security training.  Staff confirmed their awareness of the emergency procedures, including those for the residents in the secure dementia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torches, radios and a gas BBQ were sighted and meet the requirements for the 65 residents. Water and all other emergency medical and civil defence supplies are kept in a dedicated room and there is a generator on site. Emergency lighting is regularly tested, the most recent being due to a car accident downing a power pole in the area.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with the FM receiving an email alert if a bell goes unanswered for more than 10 minutes. All RN’s have pagers connected to the system.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checked by afternoon and night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most have doors that open onto the large deck areas. Heating is provided by electric wall heaters in residents’ rooms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Ranburn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CSM is the designated infection control nurse coordinator, whose role and responsibilities are defined in a job description. Infection control matters, including surveillance results, are reported monthly to the CSM and tabled at the quality/risk meeting.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This person has been in the role for a short time only and is being assisted by the CSM. The ICN has undertaken post graduate training in infection prevention and control and attended relevant study days, as verified in training records sighted. Well-established local networks with the infection control team at the DHB are available and expert advice from the organisation’s clinical quality advisory group is available if additional support/information is required.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CSM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or enablers. The facility is committed to keeping the facility restraint free with the use of a range of other interventions such as magnetic sensor alarms and sensor mats as required. A similar process is followed for any use of enablers that would be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would be used only as a last resort when all alternatives have been explored. This was evident from interviews with staff who are actively involved in the ongoing process of minimisation which has seen this facility now having no use of restraint.  Regular training does occur and was noted at all quality/restraint meetings. This was evident on review of the quality meeting minutes and the specific restraint minutes.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8"/>
        <w:gridCol w:w="1280"/>
        <w:gridCol w:w="8455"/>
        <w:gridCol w:w="1381"/>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well documented and all internal access to the laundry and cleaners’ room were appropriately secured with either a keypad or lock. The chemical storage shed was also securely padlocked. However, the outside door to the cleaners’ room and the adjacent laundry which opened onto a rear deck were observed on the first day of the audit, to be left open while the staff were away for short periods of time. The decks and maintenance areas were not commonly used by residents, but they would have been able to access them if they had so wished. While the main chemical storage shed in a backyard area was secure, a smaller room beside that which had a padlock attached, was observed to be unlocked for a short time while the staff member was working elsewhere. This room had a small number of gardening weed treatment containers inside. Immediate action was taken by the FM once this was noted and a communication to all staff was sent out and the relevant staff spoken with to remind them of the correct procedures for secure storage of all chemicals and hazardous substances. This included ensuring all doors are locked and secure when staff are away from their areas. The following day a number of checks were done and all doors were observed to be secure at all times. The FM will continue to monitor this on a regular basis.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process for safe storage of hazardous substances in the laundry, cleaners’ room and maintenance area were not always followed when the areas were left temporarily unattended.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further staff training regarding secure storage of infectious and hazardous substances. Undertake regular checks that relevant outside doors are secured when staff are away from the area.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Ranburn</w:t>
    </w:r>
    <w:bookmarkEnd w:id="58"/>
    <w:r>
      <w:rPr>
        <w:rFonts w:cs="Arial"/>
        <w:sz w:val="16"/>
        <w:szCs w:val="20"/>
      </w:rPr>
      <w:tab/>
      <w:t xml:space="preserve">Date of Audit: </w:t>
    </w:r>
    <w:bookmarkStart w:id="59" w:name="AuditStartDate1"/>
    <w:r>
      <w:rPr>
        <w:rFonts w:cs="Arial"/>
        <w:sz w:val="16"/>
        <w:szCs w:val="20"/>
      </w:rPr>
      <w:t>30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