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Taslin NZ Limited - Otatara Heights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Taslin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Otatara Heights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Residential disability services - Physical;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April 2019</w:t>
      </w:r>
      <w:bookmarkEnd w:id="7"/>
      <w:r w:rsidRPr="009418D4">
        <w:rPr>
          <w:rFonts w:cs="Arial"/>
        </w:rPr>
        <w:tab/>
        <w:t xml:space="preserve">End date: </w:t>
      </w:r>
      <w:bookmarkStart w:id="8" w:name="AuditEndDate"/>
      <w:r w:rsidR="00A4268A">
        <w:rPr>
          <w:rFonts w:cs="Arial"/>
        </w:rPr>
        <w:t>5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Otatara Heights Residential Care and Rehabilitation (Otatara Heights) provides rest home level care for up to 40 residents. The service is privately operated by a husband and wife team; one is the director and the other the manager. They are supported by a clinical nurse manager, business manager and an administration manager.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 allied health provider and a general practitioner.  Additional standards have been reviewed as requested by the Ministry of Health.</w:t>
      </w:r>
    </w:p>
    <w:p w:rsidRPr="00A4268A">
      <w:pPr>
        <w:spacing w:before="240" w:line="276" w:lineRule="auto"/>
        <w:rPr>
          <w:rFonts w:eastAsia="Calibri"/>
        </w:rPr>
      </w:pPr>
      <w:r w:rsidRPr="00A4268A">
        <w:rPr>
          <w:rFonts w:eastAsia="Calibri"/>
        </w:rPr>
        <w:t>This audit identified five areas requiring improvements relating to care planning documentation, medication management and three areas related to management of restraint.  One area related to service delivery plans was previously identified as requiring improvement.  Improvements have been made to quality management activities, timeliness of reassessments and evaluation since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members knew about their rights. They found that interactions with staff are respectful. Discrimination was not observed or detected in records and interviews with staff.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The manager works full time at the facility and has over 15 years’ experience in age care.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being reviewed at the time of audit.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Otatara Heights have their needs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an activities co-ordinator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medication competent Health care assistants or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r w:rsidRPr="00A4268A">
        <w:rPr>
          <w:rFonts w:eastAsia="Calibri"/>
        </w:rPr>
        <w:t>Mental health: Services are responsive to the needs of the residents. The approach to residents that are placed at the service under a mental health contract is consistent with the recovery model. Medical treatment is provided when needed.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policies and procedures related to restraint management. Two enablers and one bedside rail restraint were in use at the time of audit.  A comprehensive assessment tool is available. Use of enablers is voluntary for the safety of residents in response to individual requests. Staff education related to restraint and behaviour management is offered annually. </w:t>
      </w:r>
    </w:p>
    <w:p w:rsidRPr="00A4268A">
      <w:pPr>
        <w:spacing w:before="240" w:line="276" w:lineRule="auto"/>
        <w:rPr>
          <w:rFonts w:eastAsia="Calibri"/>
        </w:rPr>
      </w:pPr>
      <w:r w:rsidRPr="00A4268A">
        <w:rPr>
          <w:rFonts w:eastAsia="Calibri"/>
        </w:rPr>
        <w:t>Mental health: Staff conveyed that the service does not restrain residents that have mental health issues.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Information on the complaint process is provided and discussed with residents and families on admission and those interviewed understood how to use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are documented and completed within the timeframes.  Documentation shows any required follow up and improvements have been made where possible. The CNM and manager are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was received from the Health and Disability Commission on 08 November 2017.  All required documentation related to this complaint was completed. The complaint was signed off as closed by the commissioner on the 30 April 2018 with no further action to be taken. This audit was extended to cover aspects of the complaint as requested by HealthCERT. Documentation sighted identified that the service follow-up included appropriate staff training and education related to residents’ rights, restraint and challenging behaviour management and human resources management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A resident and a family member confirmed that they knew how to complain and how to access an independent advocacy service to support them in the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Disability: 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enabling phone calls to be taken and made in privacy. Residents who had hearing deficits had call bells on their bedroom doors, that activated a vibrating pager or a light. Similar aids were available to residents with visual impairments.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having access to aids that optimise independence, attending community activities, arranging their own visits to the doctor, participation in clubs and outings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 Sexual needs of residents verified as being met in interview and observations, were not however documented in the care plan (refer criterion 1.3.5.2).</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r w:rsidRPr="00BE00C7">
              <w:rPr>
                <w:rFonts w:cs="Arial"/>
                <w:b w:val="0"/>
                <w:lang w:eastAsia="en-NZ"/>
              </w:rPr>
              <w:t>Mental health: The residents interviewed and observation indicated that residents can stay in their rooms with the doors closed. They stated that nothing had been taken from their rooms. It was observed that staff knocked on residents’ doors to their rooms before entering it. Both residents and the family member spoken with stated that their needs were met. It was observed that some residents were introduced by their title and surnames and others by their first name indicating that the preference of the resident was considered. The care plan of the resident reviewed using tracer methodology included attending activities that catered to their spiritual needs. Attendance was confirmed by the resident. Staff and residents confirmed that visitors can stay in their rooms during visits and some residents stay with friends over night. Residents stated that they have not been abused or neglected and that they had not observed such behaviour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Disability:  Residents and family members interviewed stated that residents felt safe and were free from, nor had observed any type of discrimination, harassment or exploitation. A general practitioner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The induction process for staff includes education related to professional boundaries and expected behaviours. Staff are provided with a Code of Conduct as part of their employment agreement.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The service provider spoke several times about interacting with and providing services to residents without labelling them in a manner that identifies a deficit such as mental health residents. This is in line with the current trend of not stigmatising people by referring to them by their condition. </w:t>
            </w:r>
          </w:p>
          <w:p w:rsidR="00EB7645" w:rsidRPr="00BE00C7" w:rsidP="00BE00C7">
            <w:pPr>
              <w:pStyle w:val="OutcomeDescription"/>
              <w:spacing w:before="120" w:after="120"/>
              <w:rPr>
                <w:rFonts w:cs="Arial"/>
                <w:b w:val="0"/>
                <w:lang w:eastAsia="en-NZ"/>
              </w:rPr>
            </w:pPr>
            <w:r w:rsidRPr="00BE00C7">
              <w:rPr>
                <w:rFonts w:cs="Arial"/>
                <w:b w:val="0"/>
                <w:lang w:eastAsia="en-NZ"/>
              </w:rPr>
              <w:t>One example of a resident that refused medication was presented. Support for this person was increased by liaising with the prescriber and exploring why the resident refused the medication. Both residents interviewed stated that they felt safe at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Disability:  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Hawke’s Bay District Health Board (HBDHB) when required. Staff knew how to do so, although reported this was rarely required due to all present residents being able to speak English. Staff can provide interpretation as and if needed in addition to the use of family members for residents if English is not their first language.</w:t>
            </w:r>
          </w:p>
          <w:p w:rsidR="00EB7645" w:rsidRPr="00BE00C7" w:rsidP="00BE00C7">
            <w:pPr>
              <w:pStyle w:val="OutcomeDescription"/>
              <w:spacing w:before="120" w:after="120"/>
              <w:rPr>
                <w:rFonts w:cs="Arial"/>
                <w:b w:val="0"/>
                <w:lang w:eastAsia="en-NZ"/>
              </w:rPr>
            </w:pPr>
            <w:r w:rsidRPr="00BE00C7">
              <w:rPr>
                <w:rFonts w:cs="Arial"/>
                <w:b w:val="0"/>
                <w:lang w:eastAsia="en-NZ"/>
              </w:rPr>
              <w:t>Residents with visual and hearing deficits have supports in place to aid communication. An interview with a community support person who supports these residents, verified a high regard for the care provided to residents by Otatara Heights.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communicating effectively with residents and family members. There was appropriate communication for the needs of all residents. Written information is available and sourced in alternative formats to suit the needs of specific residents when necessary.</w:t>
            </w:r>
          </w:p>
          <w:p w:rsidR="00EB7645" w:rsidRPr="00BE00C7" w:rsidP="00BE00C7">
            <w:pPr>
              <w:pStyle w:val="OutcomeDescription"/>
              <w:spacing w:before="120" w:after="120"/>
              <w:rPr>
                <w:rFonts w:cs="Arial"/>
                <w:b w:val="0"/>
                <w:lang w:eastAsia="en-NZ"/>
              </w:rPr>
            </w:pPr>
            <w:r w:rsidRPr="00BE00C7">
              <w:rPr>
                <w:rFonts w:cs="Arial"/>
                <w:b w:val="0"/>
                <w:lang w:eastAsia="en-NZ"/>
              </w:rPr>
              <w:t>Mental health: The two residents and the family member interviewed expressed satisfaction about the communication and information they received from the service providers. One resident described a situation were open disclosure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philosophy, direction and goals of the organisation. The documents described annual and longer term objectives and the associated operational plans. A sample of monthly reports to the management group which includes one owner, showed adequate information to monitor performance is reported including financial performance, quality data, staffing, emerging risks and issues. A full governance review, which includes all managers and both owners, is undertaken on a regular basis with the last one being held in January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one owner who holds relevant qualifications and has been in the role for almost six years. She is supported by a business manager who is a charted accountant and has been in the role since July 2018, the administration manager who has been in the role since January 2014, and a clinical nurse manager (CNM) who has been in the role since June 2017. The CNM is a registered nurse with a current nursing annual practising certificate, a post graduate qualification in aged care and who has worked in aged care for over 21 years. Responsibilities and accountabilities are defined in a job description and individual employment agreement. The manager and CNM confirm their knowledge of the sector, regulatory and reporting requirements and maintains currency through regular ongoing education related to the roles they undertaken.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Hawke’s Bay District Health Board and the Ministry of Health for rest home level care services covering respite, aged care, young persons under 65 years with chronic health needs, mental health, and accident compensation clients (ACC).  At the time of audit there were 39 residents receiving services under various contracts being: </w:t>
            </w:r>
          </w:p>
          <w:p w:rsidR="00EB7645" w:rsidRPr="00BE00C7" w:rsidP="00BE00C7">
            <w:pPr>
              <w:pStyle w:val="OutcomeDescription"/>
              <w:spacing w:before="120" w:after="120"/>
              <w:rPr>
                <w:rFonts w:cs="Arial"/>
                <w:b w:val="0"/>
                <w:lang w:eastAsia="en-NZ"/>
              </w:rPr>
            </w:pPr>
            <w:r w:rsidRPr="00BE00C7">
              <w:rPr>
                <w:rFonts w:cs="Arial"/>
                <w:b w:val="0"/>
                <w:lang w:eastAsia="en-NZ"/>
              </w:rPr>
              <w:t>Twelve residents receiving care under the Age-Related Residential Care contract;</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receiving care under the Long-Term Support – Chronic Health Conditions Residential Care contract;</w:t>
            </w:r>
          </w:p>
          <w:p w:rsidR="00EB7645" w:rsidRPr="00BE00C7" w:rsidP="00BE00C7">
            <w:pPr>
              <w:pStyle w:val="OutcomeDescription"/>
              <w:spacing w:before="120" w:after="120"/>
              <w:rPr>
                <w:rFonts w:cs="Arial"/>
                <w:b w:val="0"/>
                <w:lang w:eastAsia="en-NZ"/>
              </w:rPr>
            </w:pPr>
            <w:r w:rsidRPr="00BE00C7">
              <w:rPr>
                <w:rFonts w:cs="Arial"/>
                <w:b w:val="0"/>
                <w:lang w:eastAsia="en-NZ"/>
              </w:rPr>
              <w:t>Eight residents receiving care under the Mental Health in Age Related Residential Care contract;</w:t>
            </w:r>
          </w:p>
          <w:p w:rsidR="00EB7645" w:rsidRPr="00BE00C7" w:rsidP="00BE00C7">
            <w:pPr>
              <w:pStyle w:val="OutcomeDescription"/>
              <w:spacing w:before="120" w:after="120"/>
              <w:rPr>
                <w:rFonts w:cs="Arial"/>
                <w:b w:val="0"/>
                <w:lang w:eastAsia="en-NZ"/>
              </w:rPr>
            </w:pPr>
            <w:r w:rsidRPr="00BE00C7">
              <w:rPr>
                <w:rFonts w:cs="Arial"/>
                <w:b w:val="0"/>
                <w:lang w:eastAsia="en-NZ"/>
              </w:rPr>
              <w:t>One resident receiving care under the Respite and Day Care Services in Aged Related Residential Care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residents receiving care under the Residential – Non-Aged (MOH) contract </w:t>
            </w:r>
          </w:p>
          <w:p w:rsidR="00EB7645" w:rsidRPr="00BE00C7" w:rsidP="00BE00C7">
            <w:pPr>
              <w:pStyle w:val="OutcomeDescription"/>
              <w:spacing w:before="120" w:after="120"/>
              <w:rPr>
                <w:rFonts w:cs="Arial"/>
                <w:b w:val="0"/>
                <w:lang w:eastAsia="en-NZ"/>
              </w:rPr>
            </w:pPr>
            <w:r w:rsidRPr="00BE00C7">
              <w:rPr>
                <w:rFonts w:cs="Arial"/>
                <w:b w:val="0"/>
                <w:lang w:eastAsia="en-NZ"/>
              </w:rPr>
              <w:t>Four residents receiving care under the ACC Individual Residential Support Services contact. One being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wound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monthly management team meetings, the quality and risk team meetings, and staff meetings. Staff reported their involvement in quality and risk management activities through audit activities, and implementation of corrective actions. Relevant corrective actions are developed and implemented to address any shortfalls. Resident and family satisfaction surveys are completed annually. The most recent survey which was undertaken in March 2019 was still being collated by the manager at the time of audit. She confirmed that any issues that arise are addressed using the corrective action process. During resident interviews it was confirmed that any issues they have are addressed promptly by management. An example reviewed related to a resident who required an alternative form of communication to ensure privacy in their bedroom as they could not hear staff knocking. This corrective action involved engaging the services of a deaf facilitator who stated during interview the service is very responsive to any requests made. The actions taken by the facility are observable and ensure privacy for the resident. Young people with disabilities have input into quality improvements to the service and during interview they confirmed their satisfaction with their input into decision making related to their care, equipment and overall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some were under review at the time of audit, for example the restraint policy. (Refer comments in the restraint standards). The document control system ensures a systematic and regular review process,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manager is familiar with the Health and Safety at Work Act (2015) and has implemented requirements.  The risk register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throughout all levels of the organisation and is discussed at management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CNM described essential notification reporting requirements, including for pressure injuries.  They advised there have been no notifications of significant events made to the Ministry of Health, or any other body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and annually thereafter.  All staff records identified that staff annual appraisals are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and education relevant to physical disability, mental health and young people with physical disabilities. Care staff have either completed or commenced a New Zealand Qualification Authority education programme to meet the requirements of the provider’s agreement with the DHB. There are two registered nurses who are maintaining their annual competency requirements to undertake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rationale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The four RNs undertake on-call week about and the on-call person is identified on the rosters sighted.  Care staff reported there were adequate staff available to complete the work allocated to them.  Residents and family interviewed supported this. Staffing levels meet the interRAI acuity level report findings.  Observations and review of six weeks of rosters confirmed adequate staff cover has been provided, with staff replaced in any unplanned absence.  At least one staff member on duty has a current first aid certificate. The CNM works between 34 to 40 hours per week, Monday to Friday. Two RNs work between 30 to 35 hours per week each, one RN works between 7.5 to 35 hours per week as required. There is at least 70 hours per week RN coverage over morning and afternoon shift. (Four afternoon shifts are covered by an RN).  </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cleaning/laundry, kitchen and activity staff shown on the roster. Cleaning and laundry is undertaken 7am to 4pm Monday to Friday with a dedicated laundry staff member in the weekends. Activities are undertaken 56 hours per week covering Monday to Saturday. The administration manager works eight-hour shifts, Monday to Friday as does the manager. The business manager works off-site five days a week for eight hours per day. Maintenance is undertaken five days a week for 5.5 hours per day. There are dedicated kitchen staff for 17.5 hours a day, Monday to Friday and 13 hours Saturday and Sunday.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Mental health: The records of a resident who was recently transitioned to another city in order to be closer to family was reviewed. It showed that a family member was supporting this move and that the resident was keen to be reconciled with family members. Transfer confirmation to another primary care practice was in the file. An updated lifestyle care plan and the drug chart had been sent to the new rest home the resident was transferred to.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disability: 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medicine management system was observed on the day of audit. The staff member observed demonstrated good knowledge and had a clear understanding of their roles and responsibilities related to each stage of medicine management, other than that around the administering of controlled drugs, which requires improvement. Staff who administer medicines are competent to perform the function they manage. There is, however, no competencies in place for staff who undertake the role of second checker for controlled medications. The clinical nurse manager does not at the present time administer medications, however she will organise for a competency assessment to be undertaken by the clinical nurse specialist (CNS) from the HBDHB, in case administration of medications by her is required in the future.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in a locked cupboard with all other medications. During audit, the controlled drugs were placed in a separate locked container, within the cupboard to meet safe medication requirements. Controlled drugs are checked by two staff.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to ensure medications are kept within the recommended range, are no longer being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Two younger residents who were self-administering medications, one being a spray and one being an inhaler, had no plan in place to ensure this is managed in a safe manner. The residents carried these medications around with them (refer criterion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One of the residents had prescribed clozapine. Records showed that clozapine levels were monitored. However, discussion with the clinical nurse manager revealed that protocols for monitoring residents on clozapine were not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was reviewed by a qualified dietitian 18 February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registered with the local council and a verification audit of the food control plan was undertaken 25 May 2018. Areas requiring attention have been attended to.</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Aged Care and Residential Care:  Plans reviewed reflected the generalised support needs of residents, and the outcomes of the integrated assessment process and other relevant clinical information. The needs identified by the interRAI assessments are reflected in the care plans reviewed. Care plans are resident centred and developed with the resident and/or family/whanau.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notes, medical and allied health professionals’ notations are clearly written, informative and relevant. However, care plans did not consistently evidence service integration with progress notes. This is an area that was previously identified as requiring improvement, and this requirement remains in place.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Lifestyle care plans included dimensions that supported residents’ overall wellbeing. The lifestyle care plans reflected a recovery-based approach. Activities and social interactions had been included in the templates in order to address the previous identified shortfall. Early warning signs and relapse prevention plans had not been included in the lifestyle care plan template and this continues to be an issue that needs to be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Care:  Except for that documentation referred to in 1.3.5.2, documentation, observations and interviews verified the care provided to residents was consistent with their needs, goals and the plan of care. The attention to meeting a diverse range of resident’s individualised needs was evident in all areas of service provision. A resident admitted with a stage four pressure injury has had the injury managed effectively and it is now healed. The environment was observed to be relaxed, with no evidence of disruption by residents who had potentially challenging behaviours, that could distress others.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to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Interviews with staff, residents and a family member, and verified by record entries showed that service delivery was tailored to the individual needs of residents. This included, for example, plans to improve independence, strategies to reduce anxiety and the provision of medication regimes. Ongoing medical and mental health interventions were provided as instructed. A focus of service delivery was to maintain family and other relationships and to access services in the community. The doors at the facility were open in order for residents to leave for walks at any time or for visitors to come and see their family member or friend. Residents confirmed that they were not locked into their rooms at any time. The residents interviewed and a family member expressed that the residents’ mental and physical wellbeing had significantly improved since staying at Otatara Heights.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disability: The activities programme is provided six days a week, by a recreation officer.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verbally on admission to identify residents’ interests. A generic activities plan is documented and reviewed every six months, however this plan has no reference to the individual’s specific interests, goals, community participation or skills (refer criterion 1.3.5.2). The activities programme is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interviews with the residents and observed in activity participation. Activities included normal community activities. Individual, group activities and regular events are offered. Examples include an exercise programme, daily walks, numeracy and literature classes, twice weekly outings, visiting entertainers, quiz sessions, coffee groups and daily news updates.</w:t>
            </w:r>
          </w:p>
          <w:p w:rsidR="00EB7645" w:rsidRPr="00BE00C7" w:rsidP="00BE00C7">
            <w:pPr>
              <w:pStyle w:val="OutcomeDescription"/>
              <w:spacing w:before="120" w:after="120"/>
              <w:rPr>
                <w:rFonts w:cs="Arial"/>
                <w:b w:val="0"/>
                <w:lang w:eastAsia="en-NZ"/>
              </w:rPr>
            </w:pPr>
            <w:r w:rsidRPr="00BE00C7">
              <w:rPr>
                <w:rFonts w:cs="Arial"/>
                <w:b w:val="0"/>
                <w:lang w:eastAsia="en-NZ"/>
              </w:rPr>
              <w:t>Younger residents with disabilities are supported to attend a range of community events that are consistent with their interests and preferences, daily. These include special interest groups, the library, and community programmes that are in line with resident’s needs, education programmes and leisure groups.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discussed at the minuted residents’ meetings and indicated residents’ input is sought and responded to. Resident and family satisfaction surveys demonstrated satisfaction and that information is used to improve the range of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Activities at the facility and in the community were available to the residents. Interviews with residents, the activity coordinator and a family member, confirmed by record entries, showed that residents are supported to attend group and individual activities. Residents stated that they were satisfied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disability:  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Except for those areas referred to in criterion 1.3.5.2, formal care plan evaluations, occur every six months in conjunction with the six-monthly interRAI reassessment or as residents’ needs change. Evaluations are documented by the RN. Where progress is different from that expected, the service responds by initiating changes to the plan of care. Examples were sighted of short-term care plans being consistently reviewed for infections,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Lifestyle care plans and or interRAI had been reviewed and evaluated six-monthly. Medical reviews occurred three monthly for all residents. Psychiatric reviews were done at least six-monthly. The implementation of the InterRAI for mental health residents’ progress can be tracked systematically. Residents and a family member expressed that their health and wellbeing had improved beyond their expectation.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01 November 2019) is publicly displayed at the entrance of the facility.  Residents and family members confirmed that the physical environment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Otatara Heights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CNM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norovirus outbreak in October 2017 was dealt with in an appropriate way with guidance from the HBDHB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which had been in place prior to the current update had references to an outdated restraint standard. The review of the two-yearly restraint policies and procedures which were in process had identified this and the updated policy was in place. The restraint coordinator (CNM) provides support and oversight for enabler and restraint management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bedside rail restraint and two residents were using lap belt chair enablers, which were the least restrictive and used voluntarily and are part of the residents’ personalised wheelchairs to ensure their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confirmed during staff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clinical nurse manager (CNM) and one RN, are responsible for the approval of the use of restraints and the restraint processes. It was evident from the interview with the restraint coordinator that there are clear lines of accountability. Restraint is used for safety reasons only and the one restraint in place has been approved by the group. The two residents who have chair lap belts as enablers can manage these themselves and they are part of the residents’ everyday safe care needs when using their personalised chairs.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family/whānau/EPOA involvement in the initial decision making to use restraint was on file. (Refer comments in 1.3.5.2 related to restraint not being identified on the residents plan of care). </w:t>
            </w:r>
          </w:p>
          <w:p w:rsidR="00EB7645" w:rsidRPr="00BE00C7" w:rsidP="00BE00C7">
            <w:pPr>
              <w:pStyle w:val="OutcomeDescription"/>
              <w:spacing w:before="120" w:after="120"/>
              <w:rPr>
                <w:rFonts w:cs="Arial"/>
                <w:b w:val="0"/>
                <w:lang w:eastAsia="en-NZ"/>
              </w:rPr>
            </w:pPr>
            <w:r w:rsidRPr="00BE00C7">
              <w:rPr>
                <w:rFonts w:cs="Arial"/>
                <w:b w:val="0"/>
                <w:lang w:eastAsia="en-NZ"/>
              </w:rPr>
              <w:t>Mental health: Staff stated that none of the residents under the mental health contract have been restrained. The records reviewed indicated that restraint did not occur for this resident group. Residents stated that they had not been restrained.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documents for the use of restraint are included in the restraint policy and procedures. The assessment document sighted identified the underlying cause, history of restraint use, cultural considerations, alternatives and associated risks. No assessment could be found for the resident who had restraint in use. The resident’s notes identified that the use of the bedside rail was agreed to by the resident and family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actively minimised and the restraint coordinator described how alternatives to restraints are discussed with staff and family members, such as the use of low beds.  Restraint is used for safety reasons only.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This is documented in the resident’s clinical notes.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to show the number of restraints in use. However, the documentation does not indicate dates for review for the continuation of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in the organisation’s policy and procedures and in related topics, such as positively supporting people with challenging behaviours. This last occurred in March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evaluated during interRAI reviews. Staff meeting minutes identify that restraint is discussed. Staff confirmed if there are any concerns raised this is identified in the clinical notes and would be reviewed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of the success of restraint is measured by the safety of the resident and if the restraint has worked for the purpose it was put in place for. This is identified in staff meeting minutes. Whilst this evaluation is not undertaken using the correct restraint evaluation form, evaluation requirements are met as part of the six monthly interRAI assessments and documented in residents’ clinical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have input into the residents interRAI assessment when restraint is in use. A quality review of restraint use had not occurred since 2017. Restraint use is reported at staff meetings along with alternatives to restraints, such as low beds, and the effectiveness of the restraint in use. The restraint coordinator confirmed she will ensure the updated policy and procedures are included in staff education. Data reviewed, minutes and interviews with management and staff confirmed that the use of restraint has remained the same over the past year.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50"/>
        <w:gridCol w:w="1280"/>
        <w:gridCol w:w="3959"/>
        <w:gridCol w:w="1944"/>
        <w:gridCol w:w="15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and Residential disability: An electronic medicine management system was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care assistant who was administering medications on the day, identified a controlled drug was signed out by two persons in the controlled drug register but that it was not given at the time it was checked out. The medication was given by one staff member at a later time so there was no confirmation it was given to the right resident as is required in safe medication protocol. During staff interviews it was confirmed that the second person checking the controlled medication is not always a person holding a medication competency. Records and interviews verified this practice was not consistent with policy but that it was not common practice throughout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 electronic medication record noted the signature of the staff member administering the medication. The second signature however recorded the words “the medication checked out as per the signatures in the controlled drug register”.</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records of temperatures for the medicine fridge to ensure medications are kept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Clozapine was prescribed to one of the residents. Records showed that clozapine levels had been monitored at the required frequency. However, staff were not aware of the indicators that require special monitoring and reporting to the prescriber.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system in place does not ensure the safe management of controlled drugs, nor does it ensure medications requiring refrigeration are stored within the correct temperature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Discussion with the clinical nurse manager revealed that it was not clear who was responsible for monitoring the side effects of this high risk medication. There was no protocol or system in place to identify who is responsible for metabolic monitoring, when to report side effects or other risk related events to the prescriber.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medication management system in place ensures safe storage and administration of medicines.</w:t>
            </w:r>
          </w:p>
          <w:p w:rsidR="00EB7645" w:rsidRPr="00BE00C7" w:rsidP="00BE00C7">
            <w:pPr>
              <w:pStyle w:val="OutcomeDescription"/>
              <w:spacing w:before="120" w:after="120"/>
              <w:rPr>
                <w:rFonts w:cs="Arial"/>
                <w:b w:val="0"/>
                <w:lang w:eastAsia="en-NZ"/>
              </w:rPr>
            </w:pPr>
            <w:r w:rsidRPr="00BE00C7">
              <w:rPr>
                <w:rFonts w:cs="Arial"/>
                <w:b w:val="0"/>
                <w:lang w:eastAsia="en-NZ"/>
              </w:rPr>
              <w:t>Mental health: Develop a clozapine protocol to ensure the side effects of the medication are known and monitored and conditions (for example, infections, flu, high use of coffee or nicotine) that might impact on the clozapine levels are reported to the prescriber.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Aged Care and Residential Care: Care plans reviewed were comprehensive in acknowledging the overall individualised needs of the residents regarding activities of daily living. Eight of eight files reviewed had no plan in place that described fully the required nursing strategies to manage the potential risks associated with the resident’s medical problems specifically in relation to pain, epilepsy, respiratory problems and pharmaceutical related risks and required observations.</w:t>
            </w:r>
          </w:p>
          <w:p w:rsidR="00EB7645" w:rsidRPr="00BE00C7" w:rsidP="00BE00C7">
            <w:pPr>
              <w:pStyle w:val="OutcomeDescription"/>
              <w:spacing w:before="120" w:after="120"/>
              <w:rPr>
                <w:rFonts w:cs="Arial"/>
                <w:b w:val="0"/>
                <w:lang w:eastAsia="en-NZ"/>
              </w:rPr>
            </w:pPr>
            <w:r w:rsidRPr="00BE00C7">
              <w:rPr>
                <w:rFonts w:cs="Arial"/>
                <w:b w:val="0"/>
                <w:lang w:eastAsia="en-NZ"/>
              </w:rPr>
              <w:t>Five of eight files had no advance directive in place to ensure residents wishes were considered when planning residents’ care. Eight of eight files had no plan in place to address the resident’s sexual needs, despite evidence these were being comprehensively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using restraint had no reference to the restraint in the care plan, and subsequent management strategies.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who were self-administering medications had no documentation or plan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generalised activity plan was included in all eight care plans reviewed. No documentation was sighted that identifies an assessment of resident’s interests, strengths and skills. There was no activity plan in place to address individual residents’ specific interests or goals, their community participation, and how these are to be met. </w:t>
            </w:r>
          </w:p>
          <w:p w:rsidR="00EB7645" w:rsidRPr="00BE00C7" w:rsidP="00BE00C7">
            <w:pPr>
              <w:pStyle w:val="OutcomeDescription"/>
              <w:spacing w:before="120" w:after="120"/>
              <w:rPr>
                <w:rFonts w:cs="Arial"/>
                <w:b w:val="0"/>
                <w:lang w:eastAsia="en-NZ"/>
              </w:rPr>
            </w:pPr>
            <w:r w:rsidRPr="00BE00C7">
              <w:rPr>
                <w:rFonts w:cs="Arial"/>
                <w:b w:val="0"/>
                <w:lang w:eastAsia="en-NZ"/>
              </w:rPr>
              <w:t>Mental health: The lifestyle care plans included goals and support needs in the following areas: communication, hygiene, oral hygiene, dressing, elimination, pressure injury, mobility, transferring, diet, mental health issues, spiritual and activities/social interactions. Those who did not have a lifestyle care plan had an interRAI completed. Early warning signs and relapse prevention plans were not identified in any of the mental health residents’ records.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do not always describe fully the required support to achieve the desired outcomes identified in the assessment process. </w:t>
            </w:r>
          </w:p>
          <w:p w:rsidR="00EB7645" w:rsidRPr="00BE00C7" w:rsidP="00BE00C7">
            <w:pPr>
              <w:pStyle w:val="OutcomeDescription"/>
              <w:spacing w:before="120" w:after="120"/>
              <w:rPr>
                <w:rFonts w:cs="Arial"/>
                <w:b w:val="0"/>
                <w:lang w:eastAsia="en-NZ"/>
              </w:rPr>
            </w:pPr>
            <w:r w:rsidRPr="00BE00C7">
              <w:rPr>
                <w:rFonts w:cs="Arial"/>
                <w:b w:val="0"/>
                <w:lang w:eastAsia="en-NZ"/>
              </w:rPr>
              <w:t>Mental health: Records did not include early warning signs and relapse prevention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care plans describe fully the required support the resident requires to achieve the desired outcomes.</w:t>
            </w:r>
          </w:p>
          <w:p w:rsidR="00EB7645" w:rsidRPr="00BE00C7" w:rsidP="00BE00C7">
            <w:pPr>
              <w:pStyle w:val="OutcomeDescription"/>
              <w:spacing w:before="120" w:after="120"/>
              <w:rPr>
                <w:rFonts w:cs="Arial"/>
                <w:b w:val="0"/>
                <w:lang w:eastAsia="en-NZ"/>
              </w:rPr>
            </w:pPr>
            <w:r w:rsidRPr="00BE00C7">
              <w:rPr>
                <w:rFonts w:cs="Arial"/>
                <w:b w:val="0"/>
                <w:lang w:eastAsia="en-NZ"/>
              </w:rPr>
              <w:t>Mental health: Record early warning signs and a relapse prevention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assessment form available to staff which covers all the requirements of this criterion. However, no assessment form could be located for the resident with restraint at the time of audit. An assessment was undertaken on the day of audit and put in the resident’s notes. The CNM who is the restraint coordinator confirmed her understanding that an assessment is required for all restraint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 restraint assessment form could be found for the resident with restraint in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restraint assessments are documented prior to commencing restraint.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2.2.3.5</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or equivalent process is established to record sufficient information to provide an auditable record of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register in place which identifies that one resident is using bedside rails as restraint and two residents have chair lap belt enablers. There have been no documented injuries related to restraint use since the previous audit.  The restraint register documentation does not provide an auditable record of restraint use. This had been maintained until April 2017, but then only partial information was shown. The CNM stated that when the residents’ interRAI assessments are undertaken restraint is reviewed as part of this. This is not documented in the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register sighted contained the name of the one resident currently using a restraint; however, there is insufficient information to provide an auditable record of ongoing reviews since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restraint review dates are shown in the restraint register so it can be used as an auditable record.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was in the process of updating policy and procedures at the time of audit. She was not aware that documented reviews were a requirement. There have been no changes in the number of residents using restraint over the past 12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documented quality review of restraint was undertaken in April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quality reviews for restraint are undertaken to meet the requirements of the Standard.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Taslin NZ Limited - Otatara Heights Residential Care</w:t>
    </w:r>
    <w:bookmarkEnd w:id="58"/>
    <w:r>
      <w:rPr>
        <w:rFonts w:cs="Arial"/>
        <w:sz w:val="16"/>
        <w:szCs w:val="20"/>
      </w:rPr>
      <w:tab/>
      <w:t xml:space="preserve">Date of Audit: </w:t>
    </w:r>
    <w:bookmarkStart w:id="59" w:name="AuditStartDate1"/>
    <w:r>
      <w:rPr>
        <w:rFonts w:cs="Arial"/>
        <w:sz w:val="16"/>
        <w:szCs w:val="20"/>
      </w:rPr>
      <w:t>5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