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Cargill Care Home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Cargill Care Home &amp;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April 2019</w:t>
      </w:r>
      <w:bookmarkEnd w:id="7"/>
      <w:r w:rsidRPr="009418D4">
        <w:rPr>
          <w:rFonts w:cs="Arial"/>
        </w:rPr>
        <w:tab/>
        <w:t xml:space="preserve">End date: </w:t>
      </w:r>
      <w:bookmarkStart w:id="8" w:name="AuditEndDate"/>
      <w:r w:rsidR="00A4268A">
        <w:rPr>
          <w:rFonts w:cs="Arial"/>
        </w:rPr>
        <w:t>10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Cargill Lifecare provides rest home level care for up to 40 residents. The service is operated by Heritage Lifecare (BPA)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areas requiring improvement relating to care planning, a food control plan and review of the infection prevention and control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upheld.  Services are provided that support personal privacy, independence, individuality, cultural preferences and dignity. Staff interact with residents in a respectful manner. </w:t>
      </w:r>
    </w:p>
    <w:p w:rsidRPr="00A4268A">
      <w:pPr>
        <w:spacing w:before="240" w:line="276" w:lineRule="auto"/>
        <w:rPr>
          <w:rFonts w:eastAsia="Calibri"/>
        </w:rPr>
      </w:pPr>
      <w:r w:rsidRPr="00A4268A">
        <w:rPr>
          <w:rFonts w:eastAsia="Calibri"/>
        </w:rPr>
        <w:t>There is access to appropriate services that would enable residents who identify as Māori to have their needs met in a manner that respects their cultural values and beliefs.  Systems are in place to manage any sign of abuse, neglect or discrimination.</w:t>
      </w:r>
    </w:p>
    <w:p w:rsidRPr="00A4268A">
      <w:pPr>
        <w:spacing w:before="240" w:line="276" w:lineRule="auto"/>
        <w:rPr>
          <w:rFonts w:eastAsia="Calibri"/>
        </w:rPr>
      </w:pPr>
      <w:r w:rsidRPr="00A4268A">
        <w:rPr>
          <w:rFonts w:eastAsia="Calibri"/>
        </w:rPr>
        <w:t>Open disclosure is occurring following incidents. Good communication between staff, residents and families is promoted, and confirmed to be effective. Interpreter services can be accessed, should they be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Relevant information about the care home and the services provided, is available for prospective residents and their families. All residents require a formal needs assessment prior to entry. </w:t>
      </w:r>
    </w:p>
    <w:p w:rsidRPr="00A4268A" w:rsidP="00621629">
      <w:pPr>
        <w:spacing w:before="240" w:line="276" w:lineRule="auto"/>
        <w:rPr>
          <w:rFonts w:eastAsia="Calibri"/>
        </w:rPr>
      </w:pPr>
      <w:r w:rsidRPr="00A4268A">
        <w:rPr>
          <w:rFonts w:eastAsia="Calibri"/>
        </w:rPr>
        <w:t xml:space="preserve">A registered nurse and a general practitioner assess residents’ needs on admission. Care plans are individualised, based on a comprehensive range of information from formal assessments, the resident, family members and any other services involved in the person’s care. Files reviewed demonstrated that overall the care provided and needs of residents are reviewed and evaluated on a regular and timely basis. Any new problems that arise for residents are managed efficiently and effectively.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Activity related documentation is up to date and informative. </w:t>
      </w:r>
    </w:p>
    <w:p w:rsidRPr="00A4268A" w:rsidP="00621629">
      <w:pPr>
        <w:spacing w:before="240" w:line="276" w:lineRule="auto"/>
        <w:rPr>
          <w:rFonts w:eastAsia="Calibri"/>
        </w:rPr>
      </w:pPr>
      <w:r w:rsidRPr="00A4268A">
        <w:rPr>
          <w:rFonts w:eastAsia="Calibri"/>
        </w:rPr>
        <w:t>An appropriate medicine management system that is based on safe practices is in place. Medicines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and personal preferences catered for. Food safety monitoring systems are being maintained.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Specialist infection prevention and control advice is accessible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18"/>
        <w:gridCol w:w="1280"/>
        <w:gridCol w:w="90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Cargill Lifecare use Heritage Lifecare Limited policies, procedures and processes in relation to the Code of Health and Disability Services Consumers’ Rights (the Code).  These meet the requirements of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Management explained that residents have not indicated any interest in advance care planning, even when this is discussed with them and forms provided have not been returned. There was evidence in the files reviewed that the residents’ GPs have discussed their personal preferences around resuscitation with them and documents are signed accordingly. Enduring power of attorney documentation was in the residents’ files reviewed and an example of one having been activated was sighted.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A separate leaflet on the advocacy service is included in the admission/enquiry pack. Posters and brochures related to the Advocacy Service and how to access the service were also displayed and available in the care home. Staff receive information about the advocacy service in their training on consumer rights.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described examples of when they have used Age Concern for advocacy purposes and informed residents and family members about their option to go to the Health and Disability Commission. Records showed that a person from Age Concern had visited the care home and spoken to residents about their potential role as advocates, should they require one. Residents spoken with were aware there would be people who could support them but informed they would probably speak to family members first.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has unrestricted visiting hours and encourages visits from residents’ family and friends. Any inappropriate visitors are reportedly managed by the clinical services manager and/or the care home manager. Family members interviewed stated they feel welcome when they visited and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Some of these are integrated into the care home activities programme, others are managed by the resident and others by family members. Staff accommodate any requests to assist a person to get ready in time for an outing.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Cargill Lifecare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 any required follow up and improvements have been made where possible. The interim facility manager (IFM)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an awareness of the Code and reported that this information is provided at the time of admission. A brochure about the Nationwide Health and Disability Advocacy Service (Advocacy Service) is also in the admission/enquiry pack given to all prospective residents and their family member(s). The Code is displayed on posters throughout the care home. Additional copies of brochures, together with information on advocacy services, how to make a complaint and feedback forms are available at the front entrance, and on request.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receive services in a manner that has regard for their dignity, privacy, sexuality, spirituality and choices. Family members confirmed this during interviews. 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Staff may set up a basin and wash cloth to make it easier for the person to wash themselves, or they may provide a walking frame and accompany them down the hall, rather than use a wheelchair, for example. People are encouraged and assisted to participate in community activities as they can. Care plans included documentation related to the resident’s abilities, and strategies to maximise their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residents’ individual cultural, religious and social needs, values and beliefs had been identified, documented and incorporated into their care plan and/or their activity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There was evidence of contact with Age Concern and appropriate actions taken for an incident that was reported. Documentation sighted confirmed that education on abuse and neglect is provided during new staff orientation and annually thereafter.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described how the principles of the Treaty of Waitangi are incorporated into day to day practice, as is the importance of whānau. A document titled ‘Maori perspective of health guide’ gives information about Māori beliefs in relation to illness, the Te Whare Tapa Wha model of health and an outline of cultural belief experiences as they pertain to health in the context of Aotearoa New Zealand.</w:t>
            </w:r>
          </w:p>
          <w:p w:rsidR="00EB7645" w:rsidRPr="00BE00C7" w:rsidP="00BE00C7">
            <w:pPr>
              <w:pStyle w:val="OutcomeDescription"/>
              <w:spacing w:before="120" w:after="120"/>
              <w:rPr>
                <w:rFonts w:cs="Arial"/>
                <w:b w:val="0"/>
                <w:lang w:eastAsia="en-NZ"/>
              </w:rPr>
            </w:pPr>
            <w:r w:rsidRPr="00BE00C7">
              <w:rPr>
                <w:rFonts w:cs="Arial"/>
                <w:b w:val="0"/>
                <w:lang w:eastAsia="en-NZ"/>
              </w:rPr>
              <w:t>A flip-chart on tikanga, which describes best practice guidelines for Māori health, sits in the nurses’ station for staff to use. This includes contact details of local Māori people and organisations who would be willing to support any resident who identifies as Māori to ensure integration of their cultural values and beliefs into their plan of care. Contact details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Māori culture, the Treaty of Waitangi and the importance of whānau is included in the staff training plan.</w:t>
            </w:r>
          </w:p>
          <w:p w:rsidR="00EB7645" w:rsidRPr="00BE00C7" w:rsidP="00BE00C7">
            <w:pPr>
              <w:pStyle w:val="OutcomeDescription"/>
              <w:spacing w:before="120" w:after="120"/>
              <w:rPr>
                <w:rFonts w:cs="Arial"/>
                <w:b w:val="0"/>
                <w:lang w:eastAsia="en-NZ"/>
              </w:rPr>
            </w:pPr>
            <w:r w:rsidRPr="00BE00C7">
              <w:rPr>
                <w:rFonts w:cs="Arial"/>
                <w:b w:val="0"/>
                <w:lang w:eastAsia="en-NZ"/>
              </w:rPr>
              <w:t>Feedback from family/whānau of a non-Māori resident about the care and support provided was positive and reflected the value placed on their family member’s needs. There are not currently any residents at Cargill Lifecare who identify as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with examples being visits to the local Mens’ Shed, a tavern and various churches. Many such needs are met within the activity programme and others are arranged with and/or for the individual person. The resident satisfaction survey confirmed that individual needs are being met and that staff are very respectful and attentive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Heritage Way’, which is the organisation’s Code of Conduct.  Staff are guided by policies and procedures and demonstrated a clear understanding of the process they would follow, should they suspect any form of exploitation. They are not permitted to undertake any messages for residents that involve handling their money. There was evidence that a potential problem around miscommunication had been identified and is being appropriately addressed through the complaint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described having a good rapport with family members and how open communication processes are enabling better standards of care with interventions occurring in a timely manner. Clarity of direction to caregivers was also described as a way of ensuring good practices are upheld. Additional information and support are accessed via the Southern District Health Board education and support unit, as well as from specialists such as the wound care nurse and the palliative care nurse, especially the one dedicated to assist rest homes.  A general practitioner (GP) confirmed during interview that the service seeks prompt and appropriate medical intervention when required and staff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both internal and external education and have access to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activity coordinator’s use of leadership skills and knowledge, gained from previous community involvement, to support her current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of outcomes of regular and any urgent medical reviews. This was supported in residents’ records reviewed as family/whanau communication records are being regularly updated.  Staff understood the principles of open disclosure, which is supported by policies and procedures that meet the requirements of the Code. Adverse event documentation and progress notes further verified open disclosure is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know how to access interpreter services, although reported that to date these have not been needed as all residents have been able to speak English.  They informed family members would be used in the first instance if possible, should language be a problem. The Foundation for the Blind has been approached to help residents with communication needs as has the Hearing Association who visits three times a year to check resident’s hearing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strategic and business plans, which are reviewed annually, outline the purpose, values, scope, direction and goals of the organisation. There are Cargill Lifecare specific documents that describes annual objectives and the associated operational plans. A sample of monthly reports to the support office showed adequate information to monitor performance is reported including occupancy, staffing, key performance indicators,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IFM who holds relevant qualifications and has been in the role for 16 days at Cargill Lifecare since the resignation of the previous FM. She has experience as IFM within HLL for three years. Responsibilities and accountabilities are defined in a job description and individual employment agreement. She confirmed knowledge of the sector, regulatory and reporting requirements and maintains currency through sector meetings and HLL meetings and education seminars. She is supported by the clinical service manager (CSM) and HLL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Southern District Health Board (SDHB) for respite and rest home care. Thirty-seven residents were receiving services under the contract (three respite and 34 rest home of which nine were private paying)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IFM is absent, the CSM carries out all the required duties under delegated authority, or the support office provides interim cover. During absences of key clinical staff, the clinical management is overseen by a registered nurse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key performance indicators, clinical incidents including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management/quality team meetings and staff meetings. Staff reported their involvement in quality and risk management activities through audit activities, and feedback via surveys. Relevant corrective actions are developed and implemented to address any shortfalls. Resident and family satisfaction surveys are completed annually. The most recent survey showed a comment regarding food size and staff entering rooms. There was evidence in residents’ and staff meeting minutes that actions have been implemented and residents reported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IFM described the processes for the identification, monitoring, review and reporting of risks and development of mitigation strategies. The manager was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the support office via their electronic reporting system.</w:t>
            </w:r>
          </w:p>
          <w:p w:rsidR="00EB7645" w:rsidRPr="00BE00C7" w:rsidP="00BE00C7">
            <w:pPr>
              <w:pStyle w:val="OutcomeDescription"/>
              <w:spacing w:before="120" w:after="120"/>
              <w:rPr>
                <w:rFonts w:cs="Arial"/>
                <w:b w:val="0"/>
                <w:lang w:eastAsia="en-NZ"/>
              </w:rPr>
            </w:pPr>
            <w:r w:rsidRPr="00BE00C7">
              <w:rPr>
                <w:rFonts w:cs="Arial"/>
                <w:b w:val="0"/>
                <w:lang w:eastAsia="en-NZ"/>
              </w:rPr>
              <w:t>The IFM described essential notification reporting requirements,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and annual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facility engages an external assessor for the programme. There are enough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Use of individual client stickers with personal details is occurring. Clinical notes were current and integrated with GP, activity coordinator and allied health service provider notes. This includes copies of interRAI assessment information as entered into the Momentum electronic database. Progress notes were entered at least once in 24 hours, although staff are being encouraged to write on at least the morning and afternoon shifts, and as necessary, as the acuity of residents requiring rest home care and support has slowly increased.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overall were legible. An internal audit of residents’ records undertaken by the interim care home manager last month identified that the name and designation of the person making the entry was not always identifiable. Staff have been spoken to and progress is underway with improvements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It was reported that records of former residents have been transferred to a secure storage area off site and that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Any person who enquires about entry to the service but does not have a NASC assessment is redirected to their GP and the Needs Assessment service. Prospective residents and/or their families are encouraged to visit the care home prior to admission and are provided with written information about the service and the admission process. A copy of the enquiry/admission package was viewed.  The organisation seeks updated information from family members, NASC, home and community services and the GP, as appropriate,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Any acute/urgent referrals are attended to immediately, such as sending the resident to accident and emergency in an ambulance if the circumstances dictate. Family members are asked to assist for escort purposes, although the care home will organise one when required. The service uses the DHB’s ‘yellow envelope’ system and transfer form to facilitate transfer of residents to and from acute care services. There is open communication between all services, the resident and the family/whānau. An example reviewed of a patient recently transferred to the local acute care facility showed these processes were described within the detailed progress notes. A discharge summary from the acute service was on file and the resident informed they were well informed by everybody concerned and that a family member was there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transition between services, such as for transfer to a long-term hospital or dementia care facility, appropriate information is provided for the ongoing management of the resident.  A verbal handover is provided, and the clinical services manager informed she makes herself available for any follow-up questions. All referrals are documented in the progress notes and include medical reviews and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 and responsibilities related to medicine administration. A list verified that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care home in a pre-packaged format from a contracted pharmacy. A registered nurse checks the medications against the prescription with a medicine competent caregiver. All medications sighted were within current use by dates. Clinical pharmacist input is provided at least weekly and is available to answer questions at any time, including out of hours.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showed these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Records in the electronic medicine system showed good prescribing practices with appropriate levels of details, dates for commencement and discontinuation of medicines and all requirements for pro re nata (PRN) medicines met. The required three monthly GP review is consistently recorded on the front of the record. Since the introduction of the electronic system, there is no longer a need for standing or verbal orders for medicines.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self-administering prescribed inhalers and/or creams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through the adverse event reporting system for comprehensive management and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cook and kitchen team and was in line with recognised nutritional guidelines for older people.  The four week rotating menu follows summer and winter patterns and has been reviewed by a qualified dietitian within the last two years.  Evidence of a further menu review the month after the audit was supplied. During interview, the cook described how important resident feedback is and how the kitchen team acknowledge this.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are undertaken according to organisational policies and procedures that comply with current legislation and guidelines. The service operates with an approved food safety plan and registration issued by the Ministry of Primary Industries. A corrective action has been raised as this has now expired. Food is stored safely and food temperatures, including for high risk items, are monitored appropriately and recorded as part of the plan, as are fridge and freezer temperatures and the cleaning schedule.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care home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Residents were seen to be given enough time to eat their meal in an unhurried fashion and although none of the residents required formal assistance, staff were observed monitoring how each resident was managing and how much they were eating.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could not recall any example where they have had to turn away a suitable prospective resident. Comment was made that if a referral is received but the prospective resident does not meet the entry criteria,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Should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an initial nursing assessment, falls risk, skin integrity and nutritional screening to identify any deficits and to inform care planning. Pain scales are used for residents with chronic pain. When applicable, the assessment tools are reviewed at six monthly intervals. Risk summaries were in all residents’ files reviewed, as were comprehensive social profiles that reflected the person’s history, preferences and former interests. </w:t>
            </w:r>
          </w:p>
          <w:p w:rsidR="00EB7645" w:rsidRPr="00BE00C7" w:rsidP="00BE00C7">
            <w:pPr>
              <w:pStyle w:val="OutcomeDescription"/>
              <w:spacing w:before="120" w:after="120"/>
              <w:rPr>
                <w:rFonts w:cs="Arial"/>
                <w:b w:val="0"/>
                <w:lang w:eastAsia="en-NZ"/>
              </w:rPr>
            </w:pPr>
            <w:r w:rsidRPr="00BE00C7">
              <w:rPr>
                <w:rFonts w:cs="Arial"/>
                <w:b w:val="0"/>
                <w:lang w:eastAsia="en-NZ"/>
              </w:rPr>
              <w:t>The sample of care plans reviewed had an integrated range of resident-related information and personal goals reflected the outcomes of the assessments.  All residents except those mentioned under the corrective action in Standard 1.3.3 have a current interRAI assessment completed by one of the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It was only those identified in the corrective action in Standard 1.3.3 that had not been developed at the level expected; although progress notes and file updates were comprehensive.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template is used to ensure consistency between residents’ care plans. Care plans are comprehensive and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care is ‘excellent’ and they had no cause for concern. Care staff confirmed that care was provided as outlined in the documentation. A range of equipment and resources was available, suited to the level of care provided and in accordance with the residents’ needs. Resident and family satisfaction surveys noted the excellent level of care, which was reiterated by residents and family members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is overseen by a qualified diversional therapist in another care home. During interview she expressed a passion for her role and makes a point of speaking to every resident at least once per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An individualised activity plan is developed according to personal goals extracted from the person’s profile of interests, abilities and preferences. The resident’s individual activity needs are evaluated every three months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and group activities, theme days and regular events are offered.  Monthly programmes are developed in consultation with the residents and included a degree of flexibility. Considerable creativity and multiple opportunities for people to attend external events were evident in the verbal and written reports provided. Records of participation demonstrated good attendance, including for people who were self-proclaimed ‘loners’.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involved in evaluating and improving the programme. Those interviewed confirmed they find the programme exciting and stated there is always something to do or somewhere to go. Residents’ meetings are the key platform for assessment and review of the activities programme to ensure the activities remain meaningful.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clinical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are consistently occurring every six months in conjunction with the six-monthly interRAI reassessment, or as residents’ needs change. Two examples of evaluations undertaken earlier because the residents’ needs changed were sighted.  Where progress is different from expected, the service responds by initiating changes to the plan of care. Records showing some evaluations are overdue were sighted and this factor has been raised for corrective action under criterion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short term care plans, including wound care plans and infection management records, showed that progress is evaluated as clinically indicated and the issue is added to the long term care plan if the problem remains unresolved.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participation records being updated daily, records sighted verified that residents’ activity goals and plans are being reviewed by the activity coordinator within the required timeframes and are comprehensive.</w:t>
            </w:r>
          </w:p>
          <w:p w:rsidR="00EB7645" w:rsidRPr="00BE00C7" w:rsidP="00BE00C7">
            <w:pPr>
              <w:pStyle w:val="OutcomeDescription"/>
              <w:spacing w:before="120" w:after="120"/>
              <w:rPr>
                <w:rFonts w:cs="Arial"/>
                <w:b w:val="0"/>
                <w:lang w:eastAsia="en-NZ"/>
              </w:rPr>
            </w:pPr>
            <w:r w:rsidRPr="00BE00C7">
              <w:rPr>
                <w:rFonts w:cs="Arial"/>
                <w:b w:val="0"/>
                <w:lang w:eastAsia="en-NZ"/>
              </w:rPr>
              <w:t>Multidisciplinary review meetings are occurring with the resident and family members involved as much as possible. Every effort is made for these to occur alongside the six monthly evaluation process; however, the clinical services manager noted that although an evaluation is still undertaken at six monthly intervals, the meeting may be annual due to family commitments, or similar. Records of these meetings were in residents’ files reviewed. Residents and families/whānau interviewed confirmed their involvement in care plan review processes and noted that there is ongoing conversation about progress, or otherwise, not just at the formal review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Staff and residents informed that they may choose to use their own GP or the care home’s house doctor. If the need for other non-urgent services are indicated or requested, the GP or clinical services manager sends a referral to seek specialist input.  Copies of referrals were sighted in residents’ files, including to the eye department, orthopaedic department, heart specialist and podiatry services, to mention a few. The resident and the family/whānau are kept informed of the referral process, as verified by documentation and interviews. The clinical services manager checks all residents’ ears for wax build up once a year and if needed, with the resident’s consent, a person visits the care home and removes it for them. Dental and optometry appointments were in residents’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Chemical Handling Approved Handler Training (HSNO).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13 December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knew the processes they should follow if any repairs or maintenance is required and that this is actioned promptly. Residents stated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bedrooms have their own toilet and handbasin.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There were no mobility scooters at the time of audit.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22 May 1997.  A trial evacuation takes place six-monthly with a copy sent to the New Zealand Fire Service, the most recent being on 30 November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occupancy of residents. Water storage tanks are located around the complex, and there is a generator available if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were in place. Doors and windows are locked at a predetermined time and a security company checks the premises at a random time during the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Heating is provided by electric ceiling heating in residents’ rooms and heat pumps in the communal areas. Areas were warm and well ventilated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is implementing an infection prevention and control programme as described in Heritage Lifecare Limited infection prevention and control policies and procedures. The programme is guided by a comprehensive infection control manual. A corrective action has been raised as the infection control programme and manual have not been reviewed within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manager/registered nurse is the designated infection prevention and control coordinator, whose role and responsibilities are defined in a signed job description. Infection control matters, including surveillance results, are reported at the monthly quality management and health and safety meetings and in the key performance indicator reports to the Heritage Lifecare Limited support office. The quality meetings include the care home manager, infection prevention and control coordinator and representatives from caregivers,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care home requests anyone who is, or has been unwell in the past 48 hours, not to enter the care home. The infection control manual provides guidance for staff about how long they must stay away from work if they have been unwell. Staff interviewed understood these responsibilities. Influenza immunisations are made available to staff and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has appropriate skills, knowledge, qualifications and experience for the role. During interview, information was provided that specific infection control training has been undertaken and relevant study days are attended. Records sighted verified this information. Additional support and information are accessible from the infection control nurse at the local DHB, the GP and the quality team of Heritage Lifecare Limited. The coordinator has access to residents’ records and diagnostic results to ensure timely treatment and resolution of any infections. Adequate equipment to support the programme, and any outbreak of an infection, was observed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formally reviewed in May 2017, they are readily accessible to staff and staff are required to read them during orientation and if any changes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care home.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are receiving education on infection prevention and control during their orientation and at ongoing education sessions.  Education is provided by the care home’s infection prevention and control officer and the infection prevention and control officer from the local DHB. Content of the training is documented and evaluated to ensure it is relevant, current and understood.  A record of attendance is maintained.  Records sighted confirmed the latest staff education was provided in January 2019. </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officer informed that education with residents was generally at residents’ meetings during ‘high risk times’ when there are coughs or colds, or during summer when the risk of dehydration and urinary tract infections are higher. Recent residents’ meeting minutes included reminders of residents to keep their fluid intake up.  It was also reported that education will occur on a one-to-one basis as indicated and has included reminders about handwashing or coughing etiquette for example.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All reported infections are recorded on a form developed for the purpose. The infection prevention and control coordinator reviews all reported infections and these are documented on a monthly summary record.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monthly quality management meetings and are recorded in meeting minutes. Infection rates are very low for the sector, with infections not featuring at all during some months. </w:t>
            </w:r>
          </w:p>
          <w:p w:rsidR="00EB7645" w:rsidRPr="00BE00C7" w:rsidP="00BE00C7">
            <w:pPr>
              <w:pStyle w:val="OutcomeDescription"/>
              <w:spacing w:before="120" w:after="120"/>
              <w:rPr>
                <w:rFonts w:cs="Arial"/>
                <w:b w:val="0"/>
                <w:lang w:eastAsia="en-NZ"/>
              </w:rPr>
            </w:pPr>
            <w:r w:rsidRPr="00BE00C7">
              <w:rPr>
                <w:rFonts w:cs="Arial"/>
                <w:b w:val="0"/>
                <w:lang w:eastAsia="en-NZ"/>
              </w:rPr>
              <w:t>A record and summary report of coughs and colds for a number of residents during September 2018 was viewed. Strategic action plans, monitoring and intensive staff and resident education was provided. The infection prevention and control coordinator noted this proved to be effective as none of the residents required antibiotics and none went on to get secondary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minimisation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which has been the consistent practice for many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12"/>
        <w:gridCol w:w="1280"/>
        <w:gridCol w:w="5976"/>
        <w:gridCol w:w="2870"/>
        <w:gridCol w:w="18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certificate verifying compliance with food control plan requirements that was issued by the Ministry of Primary Industries was on display; however, it had expired in September 2018. Due to a change of manager its renewal had been overlooked. Action was taken during the audit for the local council to provide the latest forms to be completed and to visit the care home for this to be updated. Meantime, food control systems that were consistent with the previous certification are being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food control plan certificate issued by Ministry of Primary Industries expired 22 September 2018. Although an appointment for an update was scheduled during the audit, this has yet to be obtained.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approved food control plan certificate is obtained and displayed appropriately.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review of the documentation of the resident reviewed using tracer methodology it was noted that the interRAI and the long term care plan were overdue. This was also evident in two other people’s files in the sample as was evidence that one person was overdue for an interRAI re-assessment and care plan evaluation.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provided a master list of due dates for interRAI assessments, long term care plans, interRAI re-assessments and evaluations. Records confirmed that not all have been completed within required timeframes, as per the contract with the DHB.  She explained she had taken leave from 1 March and returned 5 April, which was further verified by the interim care home manager. The relieving registered nurse had not managed to complete the outstanding documentation during this timeframe as was not accustomed to the role of clinical services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analysis of the information showed that most of the requirements had been met and were up to date prior to the clinical services manager going on leave. The interim care home manager provided evidence that a plan had already been developed, prior to the audit, to address the problems and mitigate the associated risks. A corrective action has been raised as the plan was to commence the week following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aspects of care plan documentation meet the required timeframes. Three interRAI assessments for new residents and the development of long-term care plans for these residents are overdue by three to four weeks.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for three other residents, their six-monthly care plan evaluations, and any required updates to the plans, are also overdue.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including interRAI reassessments, long term care plans and evaluations are completed within the required timeframes to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raised for corrective action in the provisional audit, an annual review of implementation of the infection control programme has not been undertaken by either the former, or the current, owner of this care home. Hence, review of the associated infection prevention and control policies and procedures that underpin the programme has also not occurred with the last review being May 2017. A manager reported a review of these documents is currently underway.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monthly key performance indicator reports require a comparison of the incidence of infections at each care home to be made with the incidence of infections during the same month of the previous year. This was also not evident in the data available for Cargill Lifecare.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annual review of the infection control programme, including associated policies and procedures, has not occurred and there is limited evidence of comparisons of infection surveillance data being made from one year to the next, as per the organisation’s policies and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review of implementation of the infection prevention and control programme that includes review of the associated policies and procedures is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Cargill Care Home &amp; Village</w:t>
    </w:r>
    <w:bookmarkEnd w:id="58"/>
    <w:r>
      <w:rPr>
        <w:rFonts w:cs="Arial"/>
        <w:sz w:val="16"/>
        <w:szCs w:val="20"/>
      </w:rPr>
      <w:tab/>
      <w:t xml:space="preserve">Date of Audit: </w:t>
    </w:r>
    <w:bookmarkStart w:id="59" w:name="AuditStartDate1"/>
    <w:r>
      <w:rPr>
        <w:rFonts w:cs="Arial"/>
        <w:sz w:val="16"/>
        <w:szCs w:val="20"/>
      </w:rPr>
      <w:t>9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