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on the Coast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on the Coast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February 2019</w:t>
      </w:r>
      <w:bookmarkEnd w:id="7"/>
      <w:r w:rsidRPr="009418D4">
        <w:rPr>
          <w:rFonts w:cs="Arial"/>
        </w:rPr>
        <w:tab/>
        <w:t xml:space="preserve">End date: </w:t>
      </w:r>
      <w:bookmarkStart w:id="8" w:name="AuditEndDate"/>
      <w:r w:rsidR="00A4268A">
        <w:rPr>
          <w:rFonts w:cs="Arial"/>
        </w:rPr>
        <w:t>8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on the Coast provides rest home and hospital level care for up to 44 residents and on the day of the audit there were 44 residents.  The service is managed by a manager (a relieving manager was onsite) and a care centre manager.  The residents and relatives interviewed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service has addressed the shortfall from the previous certification audit around care planning interventions.  </w:t>
      </w:r>
    </w:p>
    <w:p w:rsidRPr="00A4268A">
      <w:pPr>
        <w:spacing w:before="240" w:line="276" w:lineRule="auto"/>
        <w:rPr>
          <w:rFonts w:eastAsia="Calibri"/>
        </w:rPr>
      </w:pPr>
      <w:r w:rsidRPr="00A4268A">
        <w:rPr>
          <w:rFonts w:eastAsia="Calibri"/>
        </w:rPr>
        <w:t>There are no further areas identified at this surveillance audit that require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families are kept informed.  Residents and their family/whanau are provided with information on the complaints process on admission.  Complaints are being managed in a timely manner.  Staff are aware of the complaints process and to whom they should direct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manager and care centre manager/registered nurse are responsible for the day-to-day operations of the facility.  Quality and risk management processes are maintained, reflecting the principals of continuous quality improvement.  Quality goals are documented for the service.  Corrective action plans are implemented where opportunities for improvement are identified.  A risk management programme is in place, which includes a risk management plan, incident and accident reporting,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meeting legislative requirements.  An orientation programme is in place for new staff.  On-going education and training for staff is in place.  </w:t>
      </w:r>
    </w:p>
    <w:p w:rsidRPr="00A4268A">
      <w:pPr>
        <w:spacing w:before="240" w:line="276" w:lineRule="auto"/>
        <w:rPr>
          <w:rFonts w:eastAsia="Calibri"/>
        </w:rPr>
      </w:pPr>
      <w:r w:rsidRPr="00A4268A">
        <w:rPr>
          <w:rFonts w:eastAsia="Calibri"/>
        </w:rPr>
        <w:t xml:space="preserve">Registered nursing cover is provided 24 hours a day, seven days a week.  There are adequate numbers of staff on duty to ensure residents are safe.  </w:t>
      </w:r>
    </w:p>
    <w:p w:rsidRPr="00A4268A">
      <w:pPr>
        <w:spacing w:before="240" w:line="276" w:lineRule="auto"/>
        <w:rPr>
          <w:rFonts w:eastAsia="Calibri"/>
        </w:rPr>
      </w:pPr>
      <w:r w:rsidRPr="00A4268A">
        <w:rPr>
          <w:rFonts w:eastAsia="Calibri"/>
        </w:rPr>
        <w:t xml:space="preserve">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Assessments (including interRAI), resident centred care plans and evaluations were completed by the registered nurses within the required timeframes.  Risk assessment tools and monitoring forms were available and implemented.  Resident centred care plans are individualised.  </w:t>
      </w:r>
    </w:p>
    <w:p w:rsidRPr="00A4268A" w:rsidP="00621629">
      <w:pPr>
        <w:spacing w:before="240" w:line="276" w:lineRule="auto"/>
        <w:rPr>
          <w:rFonts w:eastAsia="Calibri"/>
        </w:rPr>
      </w:pPr>
      <w:r w:rsidRPr="00A4268A">
        <w:rPr>
          <w:rFonts w:eastAsia="Calibri"/>
        </w:rPr>
        <w:t xml:space="preserve">Recreational therapists develop and provide a seven day week activity programme.  Community links are maintained.  There is volunteer involvement and visiting entertainers.  </w:t>
      </w:r>
    </w:p>
    <w:p w:rsidRPr="00A4268A" w:rsidP="00621629">
      <w:pPr>
        <w:spacing w:before="240" w:line="276" w:lineRule="auto"/>
        <w:rPr>
          <w:rFonts w:eastAsia="Calibri"/>
        </w:rPr>
      </w:pPr>
      <w:r w:rsidRPr="00A4268A">
        <w:rPr>
          <w:rFonts w:eastAsia="Calibri"/>
        </w:rPr>
        <w:t xml:space="preserve">There is an electronic medication system that meets legislative requirements.  Staff responsible for the administration of medications complete annual medication competencies and education. </w:t>
      </w:r>
    </w:p>
    <w:p w:rsidRPr="00A4268A" w:rsidP="00621629">
      <w:pPr>
        <w:spacing w:before="240" w:line="276" w:lineRule="auto"/>
        <w:rPr>
          <w:rFonts w:eastAsia="Calibri"/>
        </w:rPr>
      </w:pPr>
      <w:r w:rsidRPr="00A4268A">
        <w:rPr>
          <w:rFonts w:eastAsia="Calibri"/>
        </w:rPr>
        <w:t xml:space="preserve">The food service is inhouse.  Resident's individual dietary needs are identified and accommodated.  Staff have attended food safety and hygiene training.  Additional snacks are available after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expiring 1 February 2020.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 service currently has six residents assessed as requiring the use of restraint and one requiring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is appropriate for the size, complexity and degree of risk associated with the service.  The infection control coordinator (enrolled nurse) has defined responsibilities for the monitoring of infections.  Surveillance activities include audits of the facility, hand hygiene and surveillance of infection control events and infections.  Staff receive on-going training on infection control.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57"/>
        <w:gridCol w:w="1280"/>
        <w:gridCol w:w="102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Interviews with three residents (two rest home level and one hospital level) and family members confirmed their understanding of the complaints process.  Staff interviewed (two caregivers, five registered nurses (RN), two enrolled nurses (EN), one diversional therapist)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complaints register that includes verbal and written complaints and evidence to confirm that complaints are being managed in a timely manner including acknowledgement, investigation, time lines, and corrective actions when required and resolutions.  From February 2018 to Jan 2019 there had been three complaints with evidence of follow-up and feedback to staff meetings.  Complainants are provided with information on how to access advocacy services through the Health and Disability Commissioner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open disclosure policy describes ways that information is provided to residents and families.  The admission pack gives a comprehensive range of information regarding the scope of service provided to the resident and their family on entry to the service and any items they are to pay for that are not covered by the agreement.  Regular contact is maintained with family including if an incident or care/ health issues arises.  Three family members interviewed (all hospital level relatives) stated they were well informed.  Ten incident/accident forms were reviewed and nine identified that the next of kin were contacted.  The tenth was for a resident who requested family not be notified.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monthly resident’s meetings chaired by a resident advocate where any issues or concerns to residents are able to be discussed.  Minutes are maintained and show follow-up actions for resolution of matters raised.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available for access to DHB interpreter services and residents.  The information pack is available in large print and can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on the Coast provides rest home and hospital level care for up to 44 residents.  The rooms are approved for both rest home or hospital level residents (all are dual purpose).  On the day of the audit there were 44 residents - 9 rest home level and 35 hospital level.  There is a retirement village attached (with no certified apartments) as part of the complex with overall management of the site provided by a relieving village manager who had been employed at Summerset for thirteen years and a property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strategic plan is in place for the organisation.  An annual quality plan for the service is linked to the strategic plan and includes annual goals and objectives.  Quality is overseen by the organisation’s clinical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been employed by Summerset for a number of years and was on secondment duty on the days of audit.  An experienced Summerset manager was relieving for six months.  There is a care centre manager(RN) who has been two years in the role and is assisted by a clinical nurse leader(RN) who has been at the facility for 3.5 years.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care centre manager have maintained greater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plan is in place.  Policies and procedures reflect evidence of regular reviews as per the document control schedule.  New and/or revised policies are made available for staff to read and sign that they have read and understand the changes.  Village managers and nurse managers are held accountable for their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of quality and risk data includes (but is not limited to) residents’ falls, infection rates, and pressure areas.  Data is collated and benchmarked against other Summerset facilities to identify trends.  A resident satisfaction survey is conducted each year.  Results for 2018 reflect resident satisfaction with the services received.  An annual internal audit schedule was sighted for the service.  Corrective actions are developed where opportunities for improvements are identified and are signed off by the village manager when completed.  Staff are kept informed of audit findings and quality initiatives.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falls reduction plan was sighted for the service.  Falls prevention strategies are in place that include the identification of interventions on a case-by-case basis to minimise future falls.  Sensor mats and physiotherapy services are utilised.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team who meet monthly.  Data relating to health and safety is entered into the electronic Risk Management Support System (RMSS).  This is overseen by the organisations operation manager for the area who approves when risks have been closed off.  Hazard identification forms and a hazard register are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comprehensive set of data relating to adverse, unplanned and untoward events.  This includes the collection of incident and accident (events) information.  The reporting system is integrated into the quality and risk management programme.  Ten (of 15 events for the month of December 2018) were sampled.  Once incidents and accidents (events) are reported the immediate actions taken are documented on RMSS.  All ten events sampled evidenced clinical follow up.  The incidents are then reviewed and investigated by the manager.  If risks are identified these are processed as hazards.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 and care centre manager have confirmed their awareness of statutory requirements in relation to essential notification.  There had been nil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job descriptions available for all relevant positions that describe staff roles, responsibilities and accountabilities.  The practising certificates of nurses are current.  The service also maintains copies of other visiting practitioners practising certificates including GP, pharmacist and physiotherapist.  Five staff files were reviewed (one caregiver, one chef, one diversional therapist, one registered nurse and the clinical nurse leader).  Evidence of signed employment contracts, job descriptions, orientation, and training was available for sighting.  Annual performance appraisals for staff have been conducted annually (one was not yet due).  Newly appointed staff complete an orientation that is specific to their job duties.  Interviews with two caregivers described the orientation programme that includes a period of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training policy and schedule for in-service education.  The in-service schedule is implemented, and attendance is recorded.  For those staff members who are unable to attend education, a competency is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are implemented competencies for registered nurses including (but not limited to); medication, restraint, syringe driver and insulin administration.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Two RNs or an RN and an EN are on duty 7am to 11pm with one rostered overnight, seven days a week.   On morning shift, there are 7 carers on (3 working shorter duties), on afternoon shift there are six carers (four working shorter duties) and two carers on duty at night.  Staff reported that staffing levels and the skill mix was appropriate and safe.  All families interviewed advised that they felt there was sufficient staffing.  The roster is changed in response to resident acuity and occupancy.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medication management system follows recognised standards and guidelines for safe medicine management practice.  Medimap electronic charting system was introduced in 2018 and robotic packaging is used.  RNs and enrolled nurses are responsible for the administration of medications in the rest home and hospital wings.  Annual medication competencies are completed (caregivers undertake competency for checking only at night when one RN is on).  All incoming medications are checked against the medication charts.  There are no standing orders.  One resident is self-medicating and all aspects of checking, competency and safe storage are being met.  The medication fridge temperature is recorded daily.  Emergency equipment is checked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 medication charts sampled (three rest home and seven hospital) are identified with photographs and allergy status.  The prescribing of regular and prn medications meets legislative requirements.  The ten medication charts reviewed identified that the GP had reviewed the medication chart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baking is undertaken on site under the supervision of a chef and cook.  There is a seasonal 4 weekly rotating menu approved by the dietician (July 2018).  There are alternative meal options available and resident likes/dislikes and preferences are known and accommodated.  Special diets include gluten free, lactose free, peanut free (allergy based) and pureed meals as assessed for residents by the RN.  The chef receives a dietary profile for each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well equipped, and the fridges and freezers have daily temperatures recorded.  End cooked food temperatures are recorded daily.  Cleaning schedules are maintained.  Chemicals are stored safely within the kitchen.  Staff were observed wearing correct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Staff working in the kitchen have food handling certificates and chemical safety training.  A Food Control Plan was registered in June 2018.  The overall response to the food delivered by residents and relatives was very positive.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centred care plans described in detail the individual support and interventions required to meet the residents’ goals.  The care plans reflect the outcomes of risk assessment tools.  Care plans demonstrate service integration and include input from allied health practitioners.  All five plans sampled (3 hospital and 2 rest home) evidenced appropriate interventions and updates to long-term care plans.  Between the five residents, six short-term plans had been used recently to give accurate interventions for their changing conditions.   The previous finding relating to resident’s care plans including interventions to meet their current needs had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 their needs are being met.  Relatives interviewed state their relative’s needs are met and they are kept informed of any health changes, GP visits and care plan reviews.  There is documented evidence of communication with families on the consultation record   When a resident's condition alters, the registered nurses initiate a review and if required, GP or specialist consultation.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room is stocked for use.  Continence products are available, and residents’ files include a urinary continence assessment, bowel management, and continence products identified for day use, night use, and other management.  Specialist advice available to nurses (but not limited to) includes continence advice, wound specialist advice, diabetic nurse advice.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initial wound assessments, treatment plans and on-going evaluation in place for three skin tears, one chronic wound and five ‘other’ wounds such as lesions/excoriations.  There were no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and a recreational therapist to cover a seven-day week integrated rest home and hospital activity programme.  The therapists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a month in advance and sent to head office for approval.  It includes activities coordinated by the activity team, entertainers, themes and events, and musical therapy.  Community links are maintained.  Church services are held on-site.  Daily contact is made with residents who are unable or choose not to participate in group activities (a number of examples of this were noted on audit).  The service has a wheelchair van for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assessment is completed in consultation with the family on admission and entered on Vcare.  Monthly progress notes are written.  Therapy plans sighted in resident files were individualised and reviewed six monthly.  The recreational therapists are involved in the multi-disciplinary team (MDT) reviews.  The feedback from three residents and three relatives was that there was a varied programme one could join in with or choose not to if that was one’s wish.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resident centred care plans.  Written evaluations were completed in all files sampled.  There is evidence of MDT involvement in the reviews.  Short term care plans are evaluated by the RN every three days.  </w:t>
              <w:br/>
              <w:t xml:space="preserve"> </w:t>
              <w:br/>
              <w:t>All initial care plans are evaluated by the registered nurses within three weeks of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(expiry 1 February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monitoring is the responsibility of the infection control coordinator (enrolled nurse).  The infection control policies were all reviewed in 2018 when the organisation moved to Bug Control and describe routine monthly infection surveillance and reporting.  Monthly surveillance activities are appropriate to the acuity, risk and needs of the residents.  There have been no outbreaks.  Infection types and numbers are entered into the electronic database, which generates a monthly analysis of the data.  The analysis is reported to the monthly infection control and staff meetings and the CCM makes available to all staff with staff meeting minutes.  The data is benchmarked with other Summerset facilities and overseen by the head office infection coordinator also.  Infection control is discussed at clinical meetings and staff handovers.  Two infection control audits in January 2018 had 100% compliance.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The service currently has six residents assessed as requiring the use of restraint (bed rails and lap belts) and one requiring an enabler (bedrails only).  Their care plans are up to date and provide the basis of factual information in assessing the risks of safety and the need for restraint.  On-going consultation with the resident and family/whanau is also identified.  Residents voluntarily request and consent to enabler use.</w:t>
            </w:r>
          </w:p>
          <w:p w:rsidR="00EB7645" w:rsidRPr="00BE00C7" w:rsidP="00BE00C7">
            <w:pPr>
              <w:pStyle w:val="OutcomeDescription"/>
              <w:spacing w:before="120" w:after="120"/>
              <w:rPr>
                <w:rFonts w:cs="Arial"/>
                <w:b w:val="0"/>
                <w:lang w:eastAsia="en-NZ"/>
              </w:rPr>
            </w:pPr>
            <w:r w:rsidRPr="00BE00C7">
              <w:rPr>
                <w:rFonts w:cs="Arial"/>
                <w:b w:val="0"/>
                <w:lang w:eastAsia="en-NZ"/>
              </w:rPr>
              <w:t>Staff received training around restraint minimisation and the management of challenging behaviour.  The service has appropriate procedures and documents for the safe assessment, planning, monitoring and review of restraint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on the Coast</w:t>
    </w:r>
    <w:bookmarkEnd w:id="58"/>
    <w:r>
      <w:rPr>
        <w:rFonts w:cs="Arial"/>
        <w:sz w:val="16"/>
        <w:szCs w:val="20"/>
      </w:rPr>
      <w:tab/>
      <w:t xml:space="preserve">Date of Audit: </w:t>
    </w:r>
    <w:bookmarkStart w:id="59" w:name="AuditStartDate1"/>
    <w:r>
      <w:rPr>
        <w:rFonts w:cs="Arial"/>
        <w:sz w:val="16"/>
        <w:szCs w:val="20"/>
      </w:rPr>
      <w:t>7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