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(BPA) Limited - Maxwell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(BPA)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Maxwell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January 2019</w:t>
      </w:r>
      <w:bookmarkEnd w:id="7"/>
      <w:r w:rsidRPr="009418D4">
        <w:rPr>
          <w:rFonts w:cs="Arial"/>
        </w:rPr>
        <w:tab/>
        <w:t xml:space="preserve">End date: </w:t>
      </w:r>
      <w:bookmarkStart w:id="8" w:name="AuditEndDate"/>
      <w:r w:rsidR="00A4268A">
        <w:rPr>
          <w:rFonts w:cs="Arial"/>
        </w:rPr>
        <w:t>16 January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Maxwell Lifecare provides rest home and hospital level care for up to 25 residents. The service has been operated by Heritage Lifecare (BPA) Limited since February 2018 and is managed by a facility manager and a clinical services manager. Positive feedback about the care provided was reported by residents and family members.</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  </w:t>
      </w:r>
    </w:p>
    <w:p w:rsidRPr="00A4268A">
      <w:pPr>
        <w:spacing w:before="240" w:line="276" w:lineRule="auto"/>
        <w:rPr>
          <w:rFonts w:eastAsia="Calibri"/>
        </w:rPr>
      </w:pPr>
      <w:r w:rsidRPr="00A4268A">
        <w:rPr>
          <w:rFonts w:eastAsia="Calibri"/>
        </w:rPr>
        <w:t xml:space="preserve">This audit identified areas requiring improvement relating to the activity programme and the need for kitchen renovation.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Residents and family members are aware of the complaints process. 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An overarching strategic plan and a facility specific business plan include the scope, direction, goals, values and mission statement of the organisation and Maxwell Lifecare.  The governing body receives weekly and monthly reports on the functioning of the service and quality indicators. An experienced and suitably qualified person manages the facility.  </w:t>
      </w:r>
    </w:p>
    <w:p w:rsidRPr="00A4268A">
      <w:pPr>
        <w:spacing w:before="240" w:line="276" w:lineRule="auto"/>
        <w:rPr>
          <w:rFonts w:eastAsia="Calibri"/>
        </w:rPr>
      </w:pPr>
      <w:r w:rsidRPr="00A4268A">
        <w:rPr>
          <w:rFonts w:eastAsia="Calibri"/>
        </w:rPr>
        <w:t xml:space="preserve">Organisational policies and procedures that support service delivery are current and are reviewed regularly. The quality and risk management system includes the collection and analysis of quality improvement data, identifies trends and leads to improvements. Staff are involved and feedback is sought from residents and families. </w:t>
      </w:r>
    </w:p>
    <w:p w:rsidRPr="00A4268A">
      <w:pPr>
        <w:spacing w:before="240" w:line="276" w:lineRule="auto"/>
        <w:rPr>
          <w:rFonts w:eastAsia="Calibri"/>
        </w:rPr>
      </w:pPr>
      <w:r w:rsidRPr="00A4268A">
        <w:rPr>
          <w:rFonts w:eastAsia="Calibri"/>
        </w:rPr>
        <w:t xml:space="preserve">Adverse events are documented with corrective actions implemented as relevant. Actual and potential risks, including health and safety risks, are identified and mitigated.  </w:t>
      </w:r>
    </w:p>
    <w:p w:rsidRPr="00A4268A">
      <w:pPr>
        <w:spacing w:before="240" w:line="276" w:lineRule="auto"/>
        <w:rPr>
          <w:rFonts w:eastAsia="Calibri"/>
        </w:rPr>
      </w:pPr>
      <w:r w:rsidRPr="00A4268A">
        <w:rPr>
          <w:rFonts w:eastAsia="Calibri"/>
        </w:rPr>
        <w:t xml:space="preserve">Processes for the appointment, orientation and management of staff are based on current good practice. A systematic approach to identify and deliver ongoing training supports safe service delivery for residents. Regular individual staff performance reviews are undertaken.  Rosters demonstrate that staffing levels, and the staff skill mix, are meeting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electronic and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demonstrated that needs, goals and outcomes are identified and reviewed on a regular basis. Residents and families interviewed reported being well informed and involved in care planning and evaluation, and that the care provided is of a high standard.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a newly appointed activities officer.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is older style and described by residents and family members as being ‘homely’. Residents’ rooms are personalised, and communal facilities are well used. Facility maintenance is attended to as required, there is a current building warrant of fitness and fire safety systems are monitored by an external company.  Electrical equipment and biomedical equipment are tested and/or calibrated as required. External areas are accessible, safe and provide seating.  </w:t>
      </w:r>
    </w:p>
    <w:p w:rsidRPr="00A4268A">
      <w:pPr>
        <w:spacing w:before="240" w:line="276" w:lineRule="auto"/>
        <w:rPr>
          <w:rFonts w:eastAsia="Calibri"/>
        </w:rPr>
      </w:pPr>
      <w:r w:rsidRPr="00A4268A">
        <w:rPr>
          <w:rFonts w:eastAsia="Calibri"/>
        </w:rPr>
        <w:t xml:space="preserve">Waste and hazardous substances are well managed. Protective equipment and clothing are available and being used by staff. Chemicals are stored safely. Cleaning and laundry processes, which are undertaken on site, are evaluated for effectiveness. </w:t>
      </w:r>
    </w:p>
    <w:p w:rsidRPr="00A4268A">
      <w:pPr>
        <w:spacing w:before="240" w:line="276" w:lineRule="auto"/>
        <w:rPr>
          <w:rFonts w:eastAsia="Calibri"/>
        </w:rPr>
      </w:pPr>
      <w:r w:rsidRPr="00A4268A">
        <w:rPr>
          <w:rFonts w:eastAsia="Calibri"/>
        </w:rPr>
        <w:t>Emergency equipment and supplies are available. Staff are trained in emergency procedures, use of emergency equipment and supplies and practise fire evacuation drills regularly. The call bell response times are monitored and efforts to improve these have been made. Suitable security systems are in place.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implements policies and procedures that support the minimisation of restraint.  Three residents have voluntarily consented to use of an enabler to enhance their personal safety. There are no residents currently using a restraint. Comprehensive assessment, approval, monitoring and review processes are in place for the use of restraints and enablers. Staff described their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co-ordinator, aims to prevent and manage infections. Specialist infection prevention and control advice is accessed from the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092"/>
        <w:gridCol w:w="1280"/>
        <w:gridCol w:w="956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Maxwell Care Home (Maxwell)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Advocacy Service were readily available and accessible.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complaints/concerns/compliments policy and associated forms meet the requirements of Right 10 of the Code. Information on the complaint process is provided to residents and families by the facility manager when a person is admitted to the service. Additional information and forms are available at the front desk alongside a complaints/suggestions box. Residents and family members interviewed were familiar with the complaints process. Staff described how the complaints/concerns and compliments process operates, knew what actions to take and confirmed they are updated on issues of concern. The facility manager described efforts being made to focus on concerns before they escalate and on compliments.   </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14 complaints have been received since the service came under the umbrella of HLL early in 2018. Actions taken, through to an agreed resolution, were documented and completed within the required timeframes.  Any required follow up and improvements have been made where possible. An example of this was that staff were provided with additional training on manual handling, including the use of hoists, after five complaints about hoists not being used had been filed.  The facility manager is responsible for complaints management and follow up. Analyses of complaints occurs at both the facility and organisational levels.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reported being made aware of the Code and the Nationwide Health and Disability Advocacy Service (Advocacy Service) as part of the admission information provided and discussion with staff. The Code is displayed in common areas. Brochures on the Code, together with information on advocacy services and other informative brochures are available beside the residents’ notice board. Brochures on how to make a complaint and feedback forms is available in the entry foyer.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when attending to personal cares, ensuring resident information is held securely and privately, when exchanging verbal information and in discussion with families and the GP.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being assisted to participate in community activities. Each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by staff and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in Maxwell Lifecare at the time of audit who identified as Māori, however interviews verified staff can support residents who identify as Māori to integrate their cultural values and beliefs. The principles of the Treaty of Waitangi are incorporated into day to day practice, as is the importance of whānau to Māori residents. There is a current Māori health plan developed at organisational level with input from cultural advisers. A kaumatua from the local marae is available to offer advice and support to Maori residents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all care plans reviewed, for example, food likes and dislikes and attention to preferences around activities of daily living.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A general practitioner (GP) and the visiting nurse practitioner (NP) also expressed satisfaction with the standard of services provided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produced at organisational level, input from external specialist services and allied health professionals, for example, the hospice/palliative care team, district nurses, physiotherapist, mental health services for older people, access to a wide range of in-service training opportunities and on-line learning portals. Staff at all levels are verified as competent in a range of skills. The GP and NP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an environment that was homely and relaxed. Call bells were answered promptly and were not heard to be continually ringing. Staff were observed to be promptly responsive to resident’s needs, and respectful and helpful to each other. Residents stated they were happy and when given the opportunity had no areas of dissatisfaction, other than the lack of activities (refer criterion 1.3.7.1).</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own or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A resident notice board is used to inform residents and families of any events and a regular newsletter has been initiated to keep residents and families informed. Residents meetings are held every three months. Residents have access to WiFi and several residents use email to communicate with family and friends.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Interpreting New Zealand when required. Staff reported interpreter services were rarely required due to all present residents being able to speak English.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overarching HLL strategic plan that was reviewed in 2018 is available. A site-specific business plan, as required for each HLL facility, was completed during the audit and presented to the auditor. These documents outline the purpose, values, scope, direction and goals of the organisation. They described annual and longer-term objectives and the associated operational plans. A sample of weekly and monthly reports, as provided to the support office of HLL, showed adequate information to monitor performance is reported including clinical quality indicators and key performance indicators related to issues such as occupancy, staffing, financial performance, and emerging risks and issues. The strategic and business plans sit alongside a comprehensive organisational quality and risk management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suitably qualified and experienced facility manager who took on the role more than twelve months ago. This person has had extensive management experience across a range of fields and completed management and leadership training. Responsibilities and accountabilities are defined in a position description and individual employment agreement.  The facility manager confirmed knowledge of the sector, regulatory and reporting requirements. Currency is maintained through participating in most on-site training, undertaking external professional development opportunities and maintaining regular links with local managers from similar types of services and organisations.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provider holds contracts with the local District Health Board to provide rest home and hospital level care under the Aged Related Residential Care Agreement (ARRC) and respite care. It also delivers a Ministry of Health contract for Young Persons with Disabilities (YPD). On the first day of audit, there were four people receiving rest home level care and 18 receiving hospital level care, two of whom were under the YPD contract. No residents were receiving respite care and there were three empty beds.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facility manager is absent, the clinical services manager carries out specific required duties under delegated authority. This person has completed leadership training. An operations manager from HLL is on call during any such absence and HLL quality team expertise is also available. </w:t>
            </w:r>
          </w:p>
          <w:p w:rsidR="00EB7645" w:rsidRPr="00BE00C7" w:rsidP="00BE00C7">
            <w:pPr>
              <w:pStyle w:val="OutcomeDescription"/>
              <w:spacing w:before="120" w:after="120"/>
              <w:rPr>
                <w:rFonts w:cs="Arial"/>
                <w:b w:val="0"/>
                <w:lang w:eastAsia="en-NZ"/>
              </w:rPr>
            </w:pPr>
            <w:r w:rsidRPr="00BE00C7">
              <w:rPr>
                <w:rFonts w:cs="Arial"/>
                <w:b w:val="0"/>
                <w:lang w:eastAsia="en-NZ"/>
              </w:rPr>
              <w:t>During absences of key clinical staff, the clinical management is overseen by other senior registered nurses who are experienced in the sector and able to take responsibility for any clinical issues that may arise. There is also access to the clinical manager from another nearby facility who is advised of any pending absence of the clinical services manager.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responses to and management of incidents and complaints, audit activities, a regular patient satisfaction survey, monitoring of outcomes, clinical incidents including infections, any use of restraints or enablers and quality improvement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Both quality meeting minutes and staff meeting minutes reviewed confirmed regular review and analysis of quality indicators. Related information is reported and discussed at the various meetings held. Staff reported their involvement in quality and risk management activities through participation in internal audits, attending meetings or reading minutes, making efforts to reduce the number of incidents and taking on roles such as health and safety officer. Relevant corrective actions and quality improvements are developed and implemented to address any shortfalls. Resident and family satisfaction surveys are completed annually; however, results of the first under HLL, which is also the most recent survey were not available as the surveys are currently being analysed. According to the schedule, results are due in February 2019. Examples of quality improvements implemented from internal audit results and from HLL reports on quality indicators included additional staff training on manual handling, changes in task lists, development of relationships with some external organisations and increased monitoring of some clinical tasks.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Heritage Lifecare Limited are currently in the process of progressively reviewing all documentation to ensure it meets the needs of the facilities and is applicable for the introduction of the electronic recording systems.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the processes for the identification, monitoring, review and reporting of risks and development of mitigation strategies. A generic organisational risk register is in place and the facility manager reviews these alongside the risks specifically identified for Maxwell Lifecare. Existing quality and risk monitoring systems cover most of the review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manager is familiar with the Health and Safety at Work Act (2015) and supervises the health and safety officer who is responsible for ensuring the requirements are implemented.  A hazard register is in place and there was evidence of ongoing reviews of this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accident/incident form. A sample of incident forms reviewed showed these were fully completed by the facility manager (for staff incidents) or the clinical services manager (for residents’ incidents), as appropriate. The registered nurse on duty is responsible for the open disclosure process with the resident and family members. Incidents are investigated, action plans developed and actions followed-up in a timely manner.  Adverse event data is collated and analysed at the local level and are a component of the quality indicators report that goes to the HLL support office every month, where the information is further analysed.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described essential notification reporting requirements, including for outbreaks, pressure injuries and near miss sentinel events. Clarification was provided as to the responsibilities for reporting such events by support office and/or the facility manager. They advised there have been no notifications of significant events made to the Ministry of Health since the provisional audit approximately a year ago.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resources management policies and processes are based on good employment practices and relevant legislation. The recruitment process includes referee checks, personal interviews, police vetting and validation of training, qualifications and practising certificates (APCs), where required. A sample of staff records reviewed confirmed the organisation’s policies are being consistently implemented, records are maintained and that good staff recruitment records from previous owners of the facility have also been retained. A file of APCs showed these are being checked annually and copies of relevant documentation are available for all registered nurses, GPs, pharmacists, the podiatrist and the dietitian who are associated with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During interview, staff expressed satisfaction with the current orientation processes for new staff. The manager has revised the process as part of a continuous quality improvement initiative to ensure it will better prepare staff to work with the residents at Maxwell Lifecare. Staff records reviewed show documentation of completed orientation checklists for all staff both before and since HLL purchased the facility. A performance review after a three-month period is now being undertaken and records of these were viewed for staff employed since HLL commenced.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according to a list of mandatory training requirements. A calendar of these requirements is updated when the training session(s) are organised, and the type of presentation is noted. Additional special interest topics are organised for staff education and individual staff may request to undertake a specific external training, if relevant to their role. Attendance records are maintained, and a topic may be repeated if staff attendance is low. Care staff have either completed or commenced a New Zealand Qualification Authority education programme to meet the requirements of the provider’s agreement with the DHB. There are sufficient trained and competent registered nurses (four of seven with one booked for February 2019) who are maintaining their annual competency requirements to undertake interRAI assessments. Records reviewed demonstrated overall completion of the required training and completion of annual performance appraisals as they fall due.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policies on ‘Safe Staffing of HLL Aged Care Facilities’ and on the roster and time sheets provide guidance for determining staffing levels and skill mixes to provide safe service delivery, 24 hours a day, seven days a week (24/7). Staffing levels are being adjusted to meet the changing needs of residents, including changes in occupancy levels, with ‘floater’ staff hours extended or an extra staff person rostered. An after-hours on call roster is in place with the facility and clinical services managers rotating for these duties, although the facility manager still needs to contact the clinical services manager for anything clinical. Additional clinical support is available through a sister facility nearby should this be required, such as when the clinical services manager is not able to be contacted. Staff confirmed that there is sufficient access to additional advice when needed. There is an emergency evacuation scheme register, which details the assistance required for each resident in the event of an emergency and how to contact next of kin, in the roster folder.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reported that for the current resident numbers there are adequate staff available to complete the work allocated to them. Residents and family interviewed supported this, although said how busy the staff are and how hard they work. Observations and review of eight weeks of the roster cycle confirmed adequate staff cover has been provided, with staff replaced in any unplanned absence. Staff use a staff shift change form for any planned absence and unplanned absences are managed by the use of casual staff or people who typically work four days a week but are willing to pick up an additional shift. </w:t>
            </w:r>
          </w:p>
          <w:p w:rsidR="00EB7645" w:rsidRPr="00BE00C7" w:rsidP="00BE00C7">
            <w:pPr>
              <w:pStyle w:val="OutcomeDescription"/>
              <w:spacing w:before="120" w:after="120"/>
              <w:rPr>
                <w:rFonts w:cs="Arial"/>
                <w:b w:val="0"/>
                <w:lang w:eastAsia="en-NZ"/>
              </w:rPr>
            </w:pPr>
            <w:r w:rsidRPr="00BE00C7">
              <w:rPr>
                <w:rFonts w:cs="Arial"/>
                <w:b w:val="0"/>
                <w:lang w:eastAsia="en-NZ"/>
              </w:rPr>
              <w:t>As all registered nurses have a current first aid certificate, there is always at least one staff member on duty who has a current first aid certificate as there is 24 hour/seven days a week registered nurse coverage in the facility. Registered nurses administer medicines on all shifts and any second checker, or second sign required is undertaken by a senior caregiver, all of whom are required to have this competency. A senior caregiver is allocated to a ‘long shift’ on the morning and afternoon shifts and this person leads the caregiver team.  The clinical services manager is employed in this role full time Monday to Friday.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are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Nelson Marlborough District Health Board’s (NMDHB)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an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are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has been developed at an organisational level by a qualified dietitian.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is in place and was registered with the Marlborough District Council 11 June 2018. All aspects of food procurement, production, preparation, transportation, delivery and disposal comply with current legislation and guidelines. Food temperatures, including for high risk items, are monitored appropriately and recorded as part of the plan. The cook and kitchen staff have undertaken safe food handling qualifications.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of resident satisfaction with meals was verified by resident and family interviews, satisfaction surveys and residents’ meeting minutes. Any areas of dissatisfaction were promptly responded to. Pureed diets are uniquely prepared at Maxwell Lifecare to ensure they are visually appealing to the resident. Pureed food is moulded into shapes that are indicative of the non-pureed food. Interviews verify improved satisfaction with meals and increased appetite of residents since the introduction of this initiative. </w:t>
            </w:r>
          </w:p>
          <w:p w:rsidR="00EB7645" w:rsidRPr="00BE00C7" w:rsidP="00BE00C7">
            <w:pPr>
              <w:pStyle w:val="OutcomeDescription"/>
              <w:spacing w:before="120" w:after="120"/>
              <w:rPr>
                <w:rFonts w:cs="Arial"/>
                <w:b w:val="0"/>
                <w:lang w:eastAsia="en-NZ"/>
              </w:rPr>
            </w:pPr>
            <w:r w:rsidRPr="00BE00C7">
              <w:rPr>
                <w:rFonts w:cs="Arial"/>
                <w:b w:val="0"/>
                <w:lang w:eastAsia="en-NZ"/>
              </w:rPr>
              <w:t>Residents were seen to be given time to eat their meal in an unhurried fashion and those requiring assistance had this provided. There are sufficient staff on duty in the dining rooms at meal times to ensure appropriate assistance is available to residents as needed.</w:t>
            </w:r>
          </w:p>
          <w:p w:rsidR="00EB7645" w:rsidRPr="00BE00C7" w:rsidP="00BE00C7">
            <w:pPr>
              <w:pStyle w:val="OutcomeDescription"/>
              <w:spacing w:before="120" w:after="120"/>
              <w:rPr>
                <w:rFonts w:cs="Arial"/>
                <w:b w:val="0"/>
                <w:lang w:eastAsia="en-NZ"/>
              </w:rPr>
            </w:pPr>
            <w:r w:rsidRPr="00BE00C7">
              <w:rPr>
                <w:rFonts w:cs="Arial"/>
                <w:b w:val="0"/>
                <w:lang w:eastAsia="en-NZ"/>
              </w:rPr>
              <w:t>Several maintenance issues in the kitchen were identified as requiring improvement, refer to criterion 1.4.2.4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residents of Maxwell Lifecare are initially assessed using a range nursing assessment tools, such as a pain scale, falls risk, skin integrity, nutritional screening, social and recreational assessment and depression scale, to identify any deficits and to inform initial care planning.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all files reviewed, initial assessments are completed as per the policy and within 24 hours of admission. InterRAI assessments are completed within three weeks of admission and at least six monthly unless the resident’s condition changes. Interviews, documentation and observation verify the RNs are familiar with requirement for reassessment of a resident using the interRAI assessment tool when a resident has increasing or changing need levels. </w:t>
              <w:br/>
              <w:br/>
              <w:t>All residents have current interRAI assessments completed by four trained interRAI assessors on site. InterRAI assessments are used to inform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are reflected in the care plans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evidenced service integration with progress notes, activities notes, medical and allied health professional’s notations clearly written, informative and relevant. Any change in care required was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r w:rsidRPr="00BE00C7">
              <w:rPr>
                <w:rFonts w:cs="Arial"/>
                <w:b w:val="0"/>
                <w:lang w:eastAsia="en-NZ"/>
              </w:rPr>
              <w:t>A resident with a recent weight loss, has documentation in place that complies with the organisation’s planning processes around the management of weight loss. A computer-generated concern is initiated when a 5% weight loss is recorded. The resident’s GP is informed and the resident is managed as per the GP’s instructions. The resident concerned has been seen and examined by the GP. Possible causes to be investigated and a meal supplement ordered. The resident’s weight is to be monitored weekly and the resident to be reviewed by the GP in a month. A review of weight loss data for the past year at Maxwell Lifecare evidences only one case where a resident has lost more than 5% of their body weight.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and NP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presently operating at Maxwell Lifecare is provided by a recently appointed activities officer.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 planned monthly activities programme was sighted. The activities programme sighted reflected residents’ ordinary patterns of life. Individual, group activities and regular events are offered. Examples include visiting entertainers, quiz sessions, housie, bowls and daily news updates. The programme is evidenced to have lengthy periods where it has not been operating and residents have not had access to a social and recreational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Apart from the activities programme referred to in criterion 1.3.7.1, 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Examples of short 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NP or CSM sends a referral to seek specialist input. Copies of referrals were sighted in residents’ files, including to older persons’ mental health services. Referrals are followed up on a regular basis by the CSM, NP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An external company is contracted to supply and manage all chemicals and cleaning products and their representatives also provide relevant training for staff. Material safety data sheets were available where chemicals are stored. Staff interviewed knew what to do should any chemical spill/event occur.  Three spill kits are available. There are three skip bins available. Food waste, garden waste, general waste and hazardous substances, which is primarily double bagged continence products, are disposed of in these and a contractor removes three times a week, and as needed.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including plastic aprons, gloves, goggles and a face shield. Hand sanitiser is readily available in dispensers throughout the building. Staff were observed using protective equipment and hand sanitiser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with an expiry date of 1 July 2019 is publicly displayed.  Fire equipment and building safety checks are being completed according to the fire safety company schedule.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and maintained.  Any broken equipment or identified hazard is reported to a designated maintenance person who addresses the issue in a timely manner. The testing and tagging of electrical equipment and calibration of bio medical equipment was current as confirmed in documentation reviewed, interviews with maintenance personnel and observation of the environment.  Checks of mechanical equipment including wheelchairs and hoists, for example, are undertaken according to the schedule as detailed in policy documents. External companies are contracted to support the checking of equipment. The environment was hazard free, residents were safe and independence promoted. The kitchen area requires renovation and has been raised for corrective 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Tidy garden and lawn areas with stamped concrete and paved paths and patio areas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confirmed they are happy with the environment and family members confirmed any required repairs or maintenance is actioned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ten shared ensuites of toilets and shower areas, four independent ensuites and three other shared toilets. An additional hand basin is in each resident’s room. One person is taken to an ensuite across the hallway for toileting and shower purposes. Appropriately secured and approved handrails are provided in the toilet and 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rooms range in size and although staff commented that some of the smaller ones, especially their ensuites, are difficult to use a hoist in, they noted that if a resident’s needs increase that the resident is usually transferred to a larger room. There is otherwise adequate personal space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throughout the facility to store mobility aids, wheel chairs and mobility scooters. Residents and family members reported satisfaction with the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main lounge and dining area, a smaller lounge which is often used for an overflow of residents who require extra assistance with their meals and a third smaller lounge. Residents can also use a seating area that has two chairs and a bookcase. Most activities are undertaken in the main lounge/dining area. The dining and lounge areas are not overly spacious; however, family, staff and residents described them as homely.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by Maxwell Lifecare staff employed for the role. Caregivers on night shift and at weekends assist as needed. On the day of audit, the laundry staff person demonstrated a sound knowledge of the laundry processes, dirty/clean flow and handling of soiled linen. Residents and family members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who have received appropriate training.  These staff have completed chemical handling training, as confirmed in interview of cleaning staff and training records sighted.  Chemicals were stored in a key pad lockable cupboard and were in appropriately labelled containers. Laundry chemicals are attached to the machines and metred doses automatically dispensed by the machine.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schedules were available, and the associated processes are monitored through the service provider’s internal audit programme. The most recent of these was in September 2018 with good results for both cleaning and laundry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on the 19 January 2011. A trial evacuation takes place six-monthly with a copy sent to the required agency with the most recent being November 2018, although the manager informed another will be undertaken later in January to bring the trial evacuations into line with the new owner’s schedule.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full occupancy of residents. Contents are checked regularly according to the schedule. Drinking water is stored in bottles according to local civil defence recommendations and changed every four months. There is a generator on site that is checked by the maintenance person.</w:t>
            </w:r>
          </w:p>
          <w:p w:rsidR="00EB7645" w:rsidRPr="00BE00C7" w:rsidP="00BE00C7">
            <w:pPr>
              <w:pStyle w:val="OutcomeDescription"/>
              <w:spacing w:before="120" w:after="120"/>
              <w:rPr>
                <w:rFonts w:cs="Arial"/>
                <w:b w:val="0"/>
                <w:lang w:eastAsia="en-NZ"/>
              </w:rPr>
            </w:pPr>
            <w:r w:rsidRPr="00BE00C7">
              <w:rPr>
                <w:rFonts w:cs="Arial"/>
                <w:b w:val="0"/>
                <w:lang w:eastAsia="en-NZ"/>
              </w:rPr>
              <w:t>Call bells for everyday use and for emergency responses alert staff to residents (or staff) requiring assistance.  Call system audits are completed on a regular basis. Following the most recent of these a quality improvement process was implemented to improve response times.  Residents and families reported staff respond promptly to call bells, although noted they can sometimes get very busy.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security arrangements are in place. Windows have security latches in place and doors and windows are locked at a predetermined time with access only via staff responding to the front door call bell. In addition to security checks coinciding with staff checks of residents, security checks are signed off by the afternoon staff before leaving and the night staff following commencement of their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Rooms have natural light and opening external windows. There are doors along corridors that open onto outside garden or small patio areas. </w:t>
            </w:r>
          </w:p>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Ceiling heaters are in residents’ rooms and communal areas such as hallways. A heat pump for heating and cooling has been installed in the main lounge and dining area and another in the kitchen. Free standing fans are used to assist with cooling during summer months. Quotes for a central ducted heat pump to be installed in two wings and the reception area were sighted.  Monthly records of indoor temperatures in random areas around the facility demonstrated comfortable indoor air temperatures are maintained. Residents and families confirmed the facility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Maxwell Lifecare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RN with input from the CSM is the designated infection control coordinator, whose role and responsibilities are defined in a job description. Infection control matters, including surveillance results, are reported monthly to the FM and tabled at the quality/risk/staff meetings. Infection control statistics are entered in the organisation’s electronic database and benchmarked within the organisation’s other facilities. The organisation’s national quality manager is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has appropriate skills, knowledge and qualifications for the role, having undertaken post graduate training in infection prevention and control, as verified in training records sighted. Well-established local networks with the infection control team at the DHB are available and expert advice from the organisation’s clinical support team is available if additional support/information is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ICC and CSM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at organisational level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The ICC provides education.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norovirus outbreak in January 2018.</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and CSM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Data is benchmarked internally within the group’s other aged care providers. </w:t>
            </w:r>
          </w:p>
          <w:p w:rsidR="00EB7645" w:rsidRPr="00BE00C7" w:rsidP="00BE00C7">
            <w:pPr>
              <w:pStyle w:val="OutcomeDescription"/>
              <w:spacing w:before="120" w:after="120"/>
              <w:rPr>
                <w:rFonts w:cs="Arial"/>
                <w:b w:val="0"/>
                <w:lang w:eastAsia="en-NZ"/>
              </w:rPr>
            </w:pPr>
            <w:r w:rsidRPr="00BE00C7">
              <w:rPr>
                <w:rFonts w:cs="Arial"/>
                <w:b w:val="0"/>
                <w:lang w:eastAsia="en-NZ"/>
              </w:rPr>
              <w:t>Graphs indicated the incidence of infections at Maxwell Lifecare is low.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Recently reviewed (October 2018) restraint minimisation and safe practice policies and procedures meet the requirements of the restraint minimisation and safe practice standards and provide guidance on the safe use of both restraints and enablers. The documents described different staff roles and responsibilities, include definitions for terms such as enabler and restraint, state that accepted options are lap belts/Tbelts, bed rails and fall out chairs, and described processes for approval, implementation, monitoring of restraints and enablers. Restraint and enabler approval are undertaken by the national restraint approval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the clinical services manager, the facility manager, the restraint coordinator and staff confirmed that a full review of the policy documentation and additional staff education on the topic has clarified some differences in opinion on the use of restraints and enablers. A restraint in-service training session was delivered in October 2018. Restraint competencies had subsequently been completed for most staff and signed off accordingly. </w:t>
            </w:r>
          </w:p>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provides support and oversight for enabler and restraint management in the facility and demonstrated a sound understanding of the organisation’s policies, procedures, practice, role and responsibilities. On the day of audit, there were no residents using a restraint and the restraint coordinator reported that restraint is only used as a last resort when all alternatives have been explored. The restraint register noted that the last record of use of restraint was in November 2018 when a full review of restraint use was undertaken and it was decreed that the identified restraints were actually enablers. Related documentation was changed. Three residents were voluntarily using bedrails at their request and according to their file had all consented to using the bedrails as an enabler. Residents are checked according to the one to two hourly checks completed during the night shift and progress notes include comments on their use.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5740"/>
        <w:gridCol w:w="3709"/>
        <w:gridCol w:w="13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previous corrective action around the limited availability of an activities programme for residents’ last audit was signed off by the South Island Alliance Programme Office (SIAPO) in July 2018. There has been limited availability of activities since July 2018, as verified by documentation, resident, family, staff and FM interviews.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of the activities assessments of individual residents having been reviewed regularly to ensure they meet their needs. Likewise, there had been no regular reviews or evaluations to help formulate an activities programme that is meaningful to the resident group. A residents’ meeting was last held in July 2018.  The minutes of this meeting makes no mention of input from residents regarding their satisfaction with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Minutes of meetings between the FM and the previous recreation officer, in May, July and November 2018 identify activities are not occurring as per the documented activities programme. In October 2018, an initiative was implemented by the FM to address the limited activities programme. The corrective actions required are ongoing and the plans for change continue to be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officer was employed at the beginning of January 2019 and had been in the role for a week prior to audit. The activities officer’s previous experience has been as a caregiver; however the person has support to enhance skills for the role from another activities officer and a local diversional therapy support group.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activities programme is sighted that evidences a range of activities to be offered in line with resident’s interests and includes quizzes, games, church services, entertainment, feeding the birds, short story and newspaper reading, happy hour and pet therapy.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van is shared with another facility and is available for outings; however, there have been no group outings in the past six months. Processes are in place to enable the newly appointed activities officer to attain the required skills (i.e. driver’s license, First aid certificate) to take residents out in the van. The activities officer has started a range of initiatives to meet the residents’ needs, including a residents’ newsletter to keep everyone informed. Residents and family commented on the recent improvement around activities now being offered over the past week.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previous recreation programme operating at Maxwell Lifecare has had lengthy periods where it was not operating.  The present planned activities programme has only been operating since 7th January 2019, and evidence is unavailable to verify it maintains strengths, skills and the interests that are meaningful to the residents, and is being delivered consistently.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activities are planned, developed and facilitated and meet the ongoing needs of the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on-site kitchen is in a bad state of disrepair. Maintenance is completed as possible. Staff have made considerable efforts to maintain the cleanliness of the area, but overall deterioration of the surfaces is creating challenges to maintain its cleanliness at a safe level.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Paint on wooden surfaces is worn, peeling and chipped, the wood is scuffed and dented, sliding cupboard doors are off their railings, fly screens are falling apart and accumulated and ingrained kitchen dirt is in corners and around windows to an extent that deep cleaning is unlikely to resolve. The vinyl on the kitchen floor is splitting at joins, it has peeled back in some areas and accumulated kitchen dirt is evident in corners.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prepared on site and to date there has been no indication of residents contracting food-borne illness resulting from the dilapidated state of the kitchen. Nor have there been any significant staff accident or illness reported associated with the state of the kitchen. However, the compromised integrity of kitchen walls, storage areas and floors are presenting potential risks to the health and safety of residents and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Deteriorating painted wooden surfaces, collapsing insect screens on windows, lifting vinyl and ingrained dirt in rough surfaces in the kitchen are presenting potential infection risks in food preparation areas and health and safety risks to workers.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Renovation of the kitchen is undertaken to ensure potential risks to food safety and the health and safety of staff are minimised.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(BPA) Limited - Maxwell Care Home</w:t>
    </w:r>
    <w:bookmarkEnd w:id="58"/>
    <w:r>
      <w:rPr>
        <w:rFonts w:cs="Arial"/>
        <w:sz w:val="16"/>
        <w:szCs w:val="20"/>
      </w:rPr>
      <w:tab/>
      <w:t xml:space="preserve">Date of Audit: </w:t>
    </w:r>
    <w:bookmarkStart w:id="59" w:name="AuditStartDate1"/>
    <w:r>
      <w:rPr>
        <w:rFonts w:cs="Arial"/>
        <w:sz w:val="16"/>
        <w:szCs w:val="20"/>
      </w:rPr>
      <w:t>15 January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