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Waterlea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Waterlea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February 2019</w:t>
      </w:r>
      <w:bookmarkEnd w:id="7"/>
      <w:r w:rsidRPr="009418D4">
        <w:rPr>
          <w:rFonts w:cs="Arial"/>
        </w:rPr>
        <w:tab/>
        <w:t xml:space="preserve">End date: </w:t>
      </w:r>
      <w:bookmarkStart w:id="8" w:name="AuditEndDate"/>
      <w:r w:rsidR="00A4268A">
        <w:rPr>
          <w:rFonts w:cs="Arial"/>
        </w:rPr>
        <w:t>8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Waterlea Lifecare provides rest home and dementia care for up to 61 residents. The service is operated by Heritage Lifecare (BPA) Limited and managed by a facility manager and a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nurse practitioner and a general practitioner.</w:t>
      </w:r>
    </w:p>
    <w:p w:rsidRPr="00A4268A">
      <w:pPr>
        <w:spacing w:before="240" w:line="276" w:lineRule="auto"/>
        <w:rPr>
          <w:rFonts w:eastAsia="Calibri"/>
        </w:rPr>
      </w:pPr>
      <w:r w:rsidRPr="00A4268A">
        <w:rPr>
          <w:rFonts w:eastAsia="Calibri"/>
        </w:rPr>
        <w:t>This audit has resulted in a continuous improvement in relation to staff training. There were no areas identified as requiring improvement.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Waterlea Lifecare and their family members/whanau.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Waterlea Lifecare provides services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Waterlea Lifecare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Information about the complaints process is provided to each resident and their family members at the time of admission. The facility manager and the clinical services manager are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Heritage Lifecare (BPA) Limited is the governing body and is responsible for the service provided at this facility.  A business plan and a quality and risk management plan are documented and include the scope, direction, goals and values of the organisation. Systems are in place for monitoring the services provided, including regular weekly reporting by the facility manager to the governing body as well as monthly reporting of clinical indicators to the governing body by the clinical services manager.  The facility is managed by an experienced and suitably qualified manager. </w:t>
      </w:r>
    </w:p>
    <w:p w:rsidRPr="00A4268A">
      <w:pPr>
        <w:spacing w:before="240" w:line="276" w:lineRule="auto"/>
        <w:rPr>
          <w:rFonts w:eastAsia="Calibri"/>
        </w:rPr>
      </w:pPr>
      <w:r w:rsidRPr="00A4268A">
        <w:rPr>
          <w:rFonts w:eastAsia="Calibri"/>
        </w:rPr>
        <w:t xml:space="preserve">A quality and risk management system is in place which includes an annual calendar of internal audit activity, monitoring of complaints and incidents, health and safety, infection control, restraint minimisation and resident and family satisfaction.  Collection, collation and analysis of quality improvement data is occurring and results are reported to the quality and staff meetings, with discussion of trends and follow up where necessary. Meeting minutes, graphs of clinical indicators and benchmarking results are displayed. Adverse events are documented on accident/incident forms and seen as an opportunity for improvement. Corrective action plans are being developed, implemented, monitored and signed off.  Formal and informal feedback from residents and families is used to improve services.  Actual and potential risks are identified and mitigated and the hazard register is up to date.  </w:t>
      </w:r>
    </w:p>
    <w:p w:rsidRPr="00A4268A">
      <w:pPr>
        <w:spacing w:before="240" w:line="276" w:lineRule="auto"/>
        <w:rPr>
          <w:rFonts w:eastAsia="Calibri"/>
        </w:rPr>
      </w:pPr>
      <w:r w:rsidRPr="00A4268A">
        <w:rPr>
          <w:rFonts w:eastAsia="Calibri"/>
        </w:rPr>
        <w:t xml:space="preserve">A suite of policies and procedures cover the necessary areas, were current and reviewed regularly. </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A comprehensive orientation and staff training programme ensure staff are competent to undertake their role.  A systematic approach to identify, plan, facilitate and record ongoing training supports safe service delivery. Annual individual staff performance reviews are completed. Registered nurses are encouraged to undertake external professional development opportunities relevant to their role. </w:t>
      </w:r>
    </w:p>
    <w:p w:rsidRPr="00A4268A">
      <w:pPr>
        <w:spacing w:before="240" w:line="276" w:lineRule="auto"/>
        <w:rPr>
          <w:rFonts w:eastAsia="Calibri"/>
        </w:rPr>
      </w:pPr>
      <w:r w:rsidRPr="00A4268A">
        <w:rPr>
          <w:rFonts w:eastAsia="Calibri"/>
        </w:rPr>
        <w:t>Staffing levels and skill mix meet contractual requirements and the changing needs of residents. Registered nurses are on a roster to attend to on-call out of hours and the facility manager is also available.</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Waterlea Lifecare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up to date care plans and the care manager’s report guides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expected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activity assistants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care staff,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has been purpose built.  There are single rooms in the rest home and in the dementia service, as well as a wing of 13 apartments with ensuite bathrooms. All are of adequate size to provide personal care. </w:t>
      </w:r>
    </w:p>
    <w:p w:rsidRPr="00A4268A">
      <w:pPr>
        <w:spacing w:before="240" w:line="276" w:lineRule="auto"/>
        <w:rPr>
          <w:rFonts w:eastAsia="Calibri"/>
        </w:rPr>
      </w:pPr>
      <w:r w:rsidRPr="00A4268A">
        <w:rPr>
          <w:rFonts w:eastAsia="Calibri"/>
        </w:rPr>
        <w:t xml:space="preserve">All building and plant comply with legislation and a current building warrant of fitness was displayed.  A preventative and reactive maintenance programme is implemented.   </w:t>
      </w:r>
    </w:p>
    <w:p w:rsidRPr="00A4268A">
      <w:pPr>
        <w:spacing w:before="240" w:line="276" w:lineRule="auto"/>
        <w:rPr>
          <w:rFonts w:eastAsia="Calibri"/>
        </w:rPr>
      </w:pPr>
      <w:r w:rsidRPr="00A4268A">
        <w:rPr>
          <w:rFonts w:eastAsia="Calibri"/>
        </w:rPr>
        <w:t xml:space="preserve">Communal areas are spacious and maintained at a comfortable temperature. Shaded external areas with seating are available.  </w:t>
      </w:r>
    </w:p>
    <w:p w:rsidRPr="00A4268A">
      <w:pPr>
        <w:spacing w:before="240" w:line="276" w:lineRule="auto"/>
        <w:rPr>
          <w:rFonts w:eastAsia="Calibri"/>
        </w:rPr>
      </w:pPr>
      <w:r w:rsidRPr="00A4268A">
        <w:rPr>
          <w:rFonts w:eastAsia="Calibri"/>
        </w:rPr>
        <w:t>Implemented policies guide the management of waste and hazardous substances. Protective equipment and clothing are provided and used by staff. Chemicals, soiled linen and equipment are safely stored. All laundry is undertaken onsite, with systems monitored to evaluate effectiveness of both laundry and cleaning processes.</w:t>
      </w:r>
    </w:p>
    <w:p w:rsidRPr="00A4268A">
      <w:pPr>
        <w:spacing w:before="240" w:line="276" w:lineRule="auto"/>
        <w:rPr>
          <w:rFonts w:eastAsia="Calibri"/>
        </w:rPr>
      </w:pPr>
      <w:r w:rsidRPr="00A4268A">
        <w:rPr>
          <w:rFonts w:eastAsia="Calibri"/>
        </w:rPr>
        <w:t xml:space="preserve">Emergency procedures are documented and displayed. Regular fire drills are completed and there is a sprinkler system and call points installed in case of fire.  Access to an emergency power source is available. The call bell system is monitored by the facility manager to ensure residents receive a timely response to call bells.  Appropriate security systems are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There were no enablers or restraints in use at the time of audit and it is the philosophy of the organisation that such interventions are not used unless as a last resort. Staff confirmed that enabler use is voluntary for the safety of residents in response to individual requests. Staff receive training at orientation and thereafter every two years, including all required aspects of restraint and enabler use.</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officer,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78"/>
        <w:gridCol w:w="1280"/>
        <w:gridCol w:w="977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Waterlea Lifecare (Waterlea)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choice and maintained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All residents in the secure unit have either activated Enduring Power of Attorneys (EPOAs) in place or have evidence that papers have been lodged to have a protection of personal and property rights (PPPR) person for the resident appointed.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policy on the management of complaints and concerns meets the requirements of Right 10 of the Code. The facility manager reported that people are informed about the complaints process when they first look at the facility. On admission, the facility manager and the clinical services manager also jointly described the complaints, concerns and compliments process and the associated forms to new residents and their family and showed them where they are available at the reception desk. Despite this, an internal audit revealed that respondents were unsure where the suggestions box is placed, and this is being addressed.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five complaints had been received during 2018 and that actions taken, through to an agreed resolution, are documented and completed within the timeframes specified in the Code.  Most complaints are followed through by the facility manager, with assistance from the clinical services manager when relevant. Action plans reviewed show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being made aware of the Code and the Nationwide Health and Disability Advocacy Service (Advocacy Service) as part of the admission information provided and discussion with staff. The Code is displayed at reception and in corridors throughout the facility. Brochures on the advocacy services, how to make a complaint and feedback forms are available at the front entrance.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by ensuring resident information is held securely and privately, when exchanging verbal information and during discussion with families and the general practitioner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was a resident in Waterlea at the time of audit who identified as Māori. Documentation, interviews and observation verified staff supported the resident to integrate their cultural values and beliefs. The principles of the Treaty of Waitangi are incorporated into day to day practice, as is the importance of whanau. There is a current Māori health plan developed at organisational level with input from cultural advisers. The facility has access to clinical support from a local Maori health provider if assistance is required to meet the needs of Maori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GP and nurse practitioner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Waterlea encourages and promotes good practice using up to date evidence-based policies, input from external specialist services and allied health professionals, for example, a wound care specialist, community dieticians, services for older persons mental health, a community mental health nurse, respiratory district nurse, palliative care nurse and the NP.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to attend external education sessions through the Nelson Marlborough District Health Board (NMDHB), access on line learning sites, and through in-service education sessions (refer criterion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commitment to ensuring care plans were always reflective of the residents’ changing needs and successful management of chronic wounds. The fostering of a collaborative approach by the management team at Waterlea acknowledges and values the work of all staff, when enabling residents to receive care of the highest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Waterlea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Aged Concern when required. Staff reported interpreter services have rarely been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overarching Heritage Lifecare (BPA) Limited strategic plan that was reviewed in 2018 is available. A site-specific business plan, as required for each Heritage Lifecare facility, which covered the purpose, scope, direction and goals of the facility was also provided. Values of the organisation are described in ‘the Heritage Way’, a document that all staff are required to read and sign. Annual operational and long-term objectives were described in the business plan as were action plans. Weekly operations reports are provided to the support office, as are monthly reports on clinical indicators and key performance indicators, which enables the support office to monitor performance including around issues of occupancy, staffing, financial performance, and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suitably qualified and experienced facility manager who has had almost thirty years in management roles within the aged care sector and has managed Waterlea since 2009. A description of attendance at various courses on leadership and management was provided. The facility manager continues to undertake professional development opportunities, participate in quarterly meetings with local district health board (DHB) and needs assessment teams, attend conferences and maintain links with other managers within the aged care sector.  Knowledge of the sector, regulatory and reporting requirements was confirmed.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holds contracts with the local DHB to provide rest home and dementia care (rest home level) under the Aged Related Residential Care Agreement (ARRC). It also holds a contract with the Ministry of Health for Young Persons with Disabilities (YPD), although no one at the facility was on this contract during the audit. On the first day of audit, there were 39 people receiving rest home level care for which 42 beds are available and 17 receiving dementia care for which 19 beds are available. Two of the dementia service residents are under 65 years and come under the Long Tern Chronic Health Conditions contract. Within the rest home and included in the numbers above, there are 13 apartments that have larger rooms and ensuites. The residents pay a weekly rental for these rooms.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facility manager, the clinical services manager carries out all the required duties under delegated authority. The clinical services manager is an experienced registered nurse who has previously worked as a unit coordinator in other facilities. Additional support is available from the Heritage Lifecare (BPA) Limited support office and from the management team at a nearby rest home with whom they have close associations.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the clinical services manager, there are other registered nurses in the team to assist. Clinical expertise is also available from another service provider and from clinical staff at the Heritage Lifecare (BPA) Limited support office. All are experienced in the sector and able to take responsibility for any clinical issues that may arise. Staff reported that there is excellent access to clinical advice and support, and they have been taught to contact emergency services if they are unsure.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and risk system that is being implemented according to a comprehensive quality and risk plan and reflects the principles of continuous improvement.  This plan includes terms of reference for the quality management committee, a set of quality goals and quality indicators. It describes how key elements of the various aspects of the quality and risk system are to be implemented. Examples of monitoring processes include the management and feedback about complaints, incidents, internal audit activities, review of clinical indicators and outcomes including for pressure injuries, wounds and infections, surveys for resident, family and staff satisfaction and the monitoring of health and safety issues and identified risks.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quality management meetings, which include health and safety and infection control are occurring. Meeting minutes from these were reviewed and confirmed adequate and regular reviews and discussion on quality and risk matters are occurring. Staff receive updates on the relevant aspects emerging from the quality management meetings at monthly staff meetings, which are minuted. Analysis of each aspect was evident and relevant corrective actions and quality improvements implemented as indicated. Records reviewed included several quality improvement initiatives that had been followed through to evaluation and evidence that corrective actions had been completed and closed out. Staff overall participate in the internal audit programme, which is comprehensive and maintained according to the timetable. Resident and family surveys are completed annually with the most recent undertaken in November 2018. The last survey showed overall satisfaction with one or two comments on specific issues such as laundry or food, rather than identifiable themes.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and were current. There are appropriate references to the interRAI Long Term Care Facility (LTCF) assessment tool and process. The document control system ensures a systematic and regular review process, referencing of relevant sources, approval, distribution and removal of obsolete documents. Staff are updated on new policies or changes to policies through staff meetings. Copies of new and amended policy documents are placed in the staff room and staff are required to sign they have read them.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and reporting of risks and development of mitigation strategies. The risk register shows consistent review and updating of risks, risk plans and the addition of new risks. The manager is aware of and attended training in the Health and Safety at Work Act (2015) requirements and has implemented requirements.  A hazard register is regularly updated and staff informed they are expected to contribute to this if they identify any issues of concern.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Policy and procedures describe essential notification reporting requirements and adverse event reporting and management processes. The facility manager was aware of the need to report incidences of pressure injuries, infection outbreaks, at risk residents, police involvement, staff shortages and unexpected deaths, for example, to relevant authorities as well as to the Heritage Lifecare (BPA) limited support office. There have been no significant events requiring essential notification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incidents forms reviewed showed these were fully completed, incidents are investigated, action plans developed and actions are followed-up in a timely manner.  Adverse event data is collated, analysed for trends and reported to the monthly quality and risk management meetings, to the support office and at staff meetings. An example of a documented quality improvement initiative aimed at reducing the incidence of falls was reviewed and showed a 27% decrease in falls incidence as a result (refer continuous improvement in 1.2.7.5).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line with good employment practice and relevant legislation, guide human resources management processes. Position descriptions reviewed were current and defined the key tasks and accountabilities for the various roles. The recruitment process includes referee checks, police vetting and validation of qualifications and practising certificates (APCs), where required.  A sample of staff records reviewed confirmed the organisation’s policies are being consistently implemented and records are systematically maintained. Annual practising certificates are reviewed annually for all health professionals associated with the residents of the service and copies of these are retained by the facility manager. All sighted were current.</w:t>
            </w:r>
          </w:p>
          <w:p w:rsidR="00EB7645" w:rsidRPr="00BE00C7" w:rsidP="00BE00C7">
            <w:pPr>
              <w:pStyle w:val="OutcomeDescription"/>
              <w:spacing w:before="120" w:after="120"/>
              <w:rPr>
                <w:rFonts w:cs="Arial"/>
                <w:b w:val="0"/>
                <w:lang w:eastAsia="en-NZ"/>
              </w:rPr>
            </w:pPr>
            <w:r w:rsidRPr="00BE00C7">
              <w:rPr>
                <w:rFonts w:cs="Arial"/>
                <w:b w:val="0"/>
                <w:lang w:eastAsia="en-NZ"/>
              </w:rPr>
              <w:t>There are a sufficient number of trained and competent registered nurses who are maintaining their annual competency requirements to be able to undertake interRAI assessments. Four registered nurses have a current interRAI assessment competency with a fifth having commenced their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provided favourable reports about the orientation process now available for new staff and noted it is individualised according to a person’s previous experience. The process includes support from a ‘buddy’ through their initial orientation period. Staff records reviewed showed documentation of completed orientation and evidence that the facility manager is completing a performance review for new staff after a three-month period.  Annual performance appraisals were current for all other staff. </w:t>
            </w:r>
          </w:p>
          <w:p w:rsidR="00EB7645" w:rsidRPr="00BE00C7" w:rsidP="00BE00C7">
            <w:pPr>
              <w:pStyle w:val="OutcomeDescription"/>
              <w:spacing w:before="120" w:after="120"/>
              <w:rPr>
                <w:rFonts w:cs="Arial"/>
                <w:b w:val="0"/>
                <w:lang w:eastAsia="en-NZ"/>
              </w:rPr>
            </w:pPr>
            <w:r w:rsidRPr="00BE00C7">
              <w:rPr>
                <w:rFonts w:cs="Arial"/>
                <w:b w:val="0"/>
                <w:lang w:eastAsia="en-NZ"/>
              </w:rPr>
              <w:t>Organisational mandatory staff training requirements are defined and scheduled to occur over the course of the year. A month by month training calendar for 2018 - 2019 was evident and includes additional ‘special interest’ topics, most of which have been in response to identified quality improvements needed.  Care staff have either completed or commenced a New Zealand Qualification Authority education programme to meet the requirements of the provider’s agreement with the DHB. Staff working in the dementia care area have either completed, or are enrolled in the required education, although all staff have completed a basic overview of managing residents with dementia. Education records reviewed demonstrated completion of the different types of required training, which has been enhanced by one on one follow-up for non-attendees and additional courses provided if attendance is too low. Commitment to ongoing staff education was evident and the information available from a related quality improvement project suggested that the additional emphasis on training has been a significant contributing factor to the 27% reduction in falls over less than a year in this facility. A continuous improvement has been allocated for this criterion.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 wide documented rationale for determining staffing levels and skill mixes in order to provide safe service delivery. This is currently under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Meantime Waterlea is using a monitoring tool to guide staff allocations on the roster and adjusts staffing levels to meet the changing needs of residents. A ‘flexi shift’ on both morning and afternoon shifts is lengthened, or withdrawn, as indicated and additional staff have been rostered in the dementia service when this was required to meet one on one support needs of a resident until a re-assessment could be completed. The facility manager is on call seven days a week and is relieved by the clinical services manager when on leave. The clinical services manager is on-call Monday to Friday and one of the other registered nurses takes the on-call phone during weekends and when the clinical services manager is on leave. </w:t>
            </w:r>
          </w:p>
          <w:p w:rsidR="00EB7645" w:rsidRPr="00BE00C7" w:rsidP="00BE00C7">
            <w:pPr>
              <w:pStyle w:val="OutcomeDescription"/>
              <w:spacing w:before="120" w:after="120"/>
              <w:rPr>
                <w:rFonts w:cs="Arial"/>
                <w:b w:val="0"/>
                <w:lang w:eastAsia="en-NZ"/>
              </w:rPr>
            </w:pPr>
            <w:r w:rsidRPr="00BE00C7">
              <w:rPr>
                <w:rFonts w:cs="Arial"/>
                <w:b w:val="0"/>
                <w:lang w:eastAsia="en-NZ"/>
              </w:rPr>
              <w:t>Unplanned absences and any needs for additional staff are filled by current staff who choose to pick up extra shifts when they are available. No agency staff, or people unfamiliar with the residents, are used in this facility and the staff and manager confirmed that healthcare assistants never work short. A laundry person or housekeeper would be withdrawn before this happened. Three casual staff are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minimum number of staff is provided during the night shift. This consists of two healthcare assistants, one of whom is allocated to the dementia service and one to the rest home. A household/carer works between the dementia service and the rest home as required. Each shift has a team leader allocated on the roster. In addition to the clinical services manager, a registered nurse who does not take a resident workload, is on duty every morning shift with an enrolled nurse or a very senior caregiver on afternoon shifts.  </w:t>
            </w:r>
          </w:p>
          <w:p w:rsidR="00EB7645" w:rsidRPr="00BE00C7" w:rsidP="00BE00C7">
            <w:pPr>
              <w:pStyle w:val="OutcomeDescription"/>
              <w:spacing w:before="120" w:after="120"/>
              <w:rPr>
                <w:rFonts w:cs="Arial"/>
                <w:b w:val="0"/>
                <w:lang w:eastAsia="en-NZ"/>
              </w:rPr>
            </w:pPr>
            <w:r w:rsidRPr="00BE00C7">
              <w:rPr>
                <w:rFonts w:cs="Arial"/>
                <w:b w:val="0"/>
                <w:lang w:eastAsia="en-NZ"/>
              </w:rPr>
              <w:t>Healthcare assistants reported during interview that adequate staff were available and that they were able to complete the work allocated to them.   This was further supported by residents and family interviewed. Observations and review of a six-week roster cycle sample during this audit confirmed adequate staff cover has been provided and is planned. All registered nurses, enrolled nurses and senior caregivers undertake first aid training/cardio-pulmonary resuscitation every two years; therefore, all shifts are covered by at least one staff member with a current first aid certificate. An activities coordinator is in the rest home, and one in the dementia service, every day on seven days a week.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either onsite where the resident is still a resident, or offsite if the resident is no longer residing at Waterlea. All records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Residents requiring care in the secure unit require placement approval by specialist services, an activated EPOA or a PPPR application before the courts.</w:t>
            </w:r>
          </w:p>
          <w:p w:rsidR="00EB7645" w:rsidRPr="00BE00C7" w:rsidP="00BE00C7">
            <w:pPr>
              <w:pStyle w:val="OutcomeDescription"/>
              <w:spacing w:before="120" w:after="120"/>
              <w:rPr>
                <w:rFonts w:cs="Arial"/>
                <w:b w:val="0"/>
                <w:lang w:eastAsia="en-NZ"/>
              </w:rPr>
            </w:pPr>
            <w:r w:rsidRPr="00BE00C7">
              <w:rPr>
                <w:rFonts w:cs="Arial"/>
                <w:b w:val="0"/>
                <w:lang w:eastAsia="en-NZ"/>
              </w:rPr>
              <w:t>Prospective residents and/or their families are encouraged to visit the facility prior to admission and meet with the facility manager (FM) and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NMDHB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Residents are accompanied by family members where possible.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who self-administers medications at Waterlea, at the time of audit. Appropriate processes are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planned by a qualified dietitian in November 2018.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has been registered with the Marlborough District Council. A verification audit of the food control plan was undertaken by the council 19-September-2018. No areas requiring corrective action were identified.</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in the secure unit have access to food at any time of the day or night.</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whanau /family. There is a clause in the access agreement related to when a resident’s placement can be terminated. Examples of this occurring were discussed with the CSM and FM.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Waterlea are initially assessed using a range of nursing assessment tools, such as pain scale, falls risk, skin integrity, nutritional screening, depression scale and a behaviour assessment,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Behaviour assessments for residents with evidence of behaviours that challenge, had ongoing reviews of assessments based on behaviour monitoring documentation.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InterRAI assessments were completed within three weeks of admission and at least every six months unless the resident’s condition changed. Interviews, documentation and observation verified the RNs are familiar with requirement for reassessment of a resident using the interRAI assessment tool when a resident has increasing or changing need levels. </w:t>
              <w:br/>
              <w:br/>
              <w:t>All residents had current interRAI assessments completed which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 Care plans of residents suffering from dementia had twenty-four-hour activity plans in place and behavioural management plans that included triggers and related interventions.  Evidence is sighted of ongoing reviews of the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to residents of Waterlea was consistent with their needs, goals and the plan of care. The attention to meeting a diverse range of resident’s individualised needs was evident in all areas of service provision. A resident with a history of chronic wounds and identified as requiring palliative management, has had one wound healed and one substantially improved. Residents in the secure unit were observed to be well dressed, relaxed and happy. Staff were observed to respond to all residents in a gentle and respectful manner when requesting resident’s co-operation in attending to resident’s needs.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activities assistant, with oversight from a qualified diversional therapist. A third activities assistant is starting in a week.  Activities are provided seven days a week in both the rest home and the secure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Residents in the secure unit, and residents in the rest home who have some degree of dementia, activity plans in place that addresses the residents’ twenty-four-hour needs. The resident’s activity needs are evaluated regularly and as part of the formal six-monthly care plan review. One to one activities are provided for residents under sixty five years, these activities are specifically focussed on each resident.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operating in both areas of the facility operates seven days a week. The programmes sighted matched the skills, likes, dislikes and interests identified in assessment data. Activities reflected residents’ goals, ordinary patterns of life and included normal community activities. Individual, group activities and regular events are offered. Examples include daily exercise programmes, walking groups, pet therapy, visiting entertainers, quiz sessions and daily news updates. The activities programme is discussed at the minuted residents’ meetings and indicated residents’ input is sought and responded to. Resident and family satisfaction surveys demonstrated a high degree of satisfaction with the activities being provided at Waterlea. Any areas of dissatisfaction are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short-term care plans were consistently reviewed for new behavioural issues, infections, pain and weight loss. Progress is evaluated as clinically indicated and according to the degree of risk noted during the assessment process. Other plans, such as wound management plans were evaluated each time the dressing was changed. Behavioural plans were reviewed on an ongoing basis in line with behaviour monitoring records.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RN sends a referral to seek specialist input. Copies of referrals were sighted in residents’ files, including to older persons’ mental health services. Referrals are followed up on a regular basis by the RN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Infection control documentation includes a waste management section detailing procedures for management and disposal of potentially infectious waste. A contractor provides rubbish skips and empties these two to three times a week. Food waste is double bagged and placed in the general waste. Metals, plastics and cardboard are recycled.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doors to the areas storing chemicals were secured with key pad locks and containers labelled. Appropriate signage is displayed where necessary.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provision and availability of protective clothing and equipment and staff were observed using this, including gloves, plastic aprons, and gumboots with personal socks. A cleaner consistently uses goggles.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issued 1 July 2018 is publicly displayed.  Residents are able to mobilise around the facility easily.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There is a proactive and reactive maintenance programme and buildings, plant and equipment are maintained to an adequate standard.  The testing and tagging of equipment (last completed 28 September 2018) and calibration of bio medical equipment (undertaken 18 July 2018) have occurred. An ongoing seventeen-year problem with hot water temperatures, which sees most as completely normal and others as showing inconsistent variations between the expected temperature range, too hot or too cool has been further investigated and new actions taken. Correspondence from a property asset manager at Heritage Lifecare (BPA) Limited confirmed yet another suggested action is in progress.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garden and patio areas are safely maintained and are appropriate to the resident groups and setting.  The environment is conducive to the range of activities undertaken in the areas.  Efforts are made to ensure the environment is hazard free and that residents are safe. Residents interviewed confirmed that any maintenance is attended to promptly and that they enjoy the environment at Waterlea.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toilet, showers and bathing facilities. Rooms in the Magnolia wing have ensuites and all other residents’ rooms throughout the remainder of the facility, including the dementia service have a toilet and handbasin.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Five toilets and two showers are in the Forget-Me-Not (dementia service) wing, all with clear pictures on the doors. The lavender wing has two showers and one toilet, plus two rooms have their own shower. Columbine wing has a shower and toilet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bathrooms and toilets throughout the facility.  Appropriately secured and approved handrails are provided in the toilet/shower areas, and other equipment/accessories are available to promote residents’ independence. Staff confirmed the toilet and shower facilities are of sufficient size to provide residents with the required assistance.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with larger rooms in the Magnolia wing and in Forget-Me-Not (dementia service). Rooms, including in the dementia service, are personalised with furnishings, photos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sufficient room to store mobility aids walking frames and wheel chairs, so long as this is done tidily. Staff and residents reported the adequacy of bedrooms with staff stating that they could manoeuvre a hoist in each if this was needed. Mobility scooters are stored in designated areas and do not impede walkways or create a hazard for mobile residents. Family members commented on the ‘homely’ environment and stated the rooms were of a ‘good’ size.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Communal areas are available for residents to engage in activities.  There are three large size dining rooms, one in Magnolia, one in the main rest home and one in the Forget-Me-Not wing. Spacious lounge areas are complemented by smaller lounges in Magnolia and Forget-Me-Not and nooks in the Columbine and Forget-Me-Not areas. Residents can access these smaller lounges and nooks areas for privacy,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Furniture is appropriate to the setting and resident needs.  It is arranged in a manner which enables residents to mobilise freely. Residents may bring some of their own furniture from home when they are admitted.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 site in a dedicated laundry. Resident’s personal items are laundered on site, or by family members if requested.  Residents interviewed reported the laundry is managed well and their clothes are returned in a timely manner. The laundry is currently mostly washed by four cleaning/laundry staff, although night staff will assist when required. Staff interviewed were familiar with the laundry processes, knew about the importance of the dirty/clean flow and how to manage soiled linen.  </w:t>
            </w:r>
          </w:p>
          <w:p w:rsidR="00EB7645" w:rsidRPr="00BE00C7" w:rsidP="00BE00C7">
            <w:pPr>
              <w:pStyle w:val="OutcomeDescription"/>
              <w:spacing w:before="120" w:after="120"/>
              <w:rPr>
                <w:rFonts w:cs="Arial"/>
                <w:b w:val="0"/>
                <w:lang w:eastAsia="en-NZ"/>
              </w:rPr>
            </w:pPr>
            <w:r w:rsidRPr="00BE00C7">
              <w:rPr>
                <w:rFonts w:cs="Arial"/>
                <w:b w:val="0"/>
                <w:lang w:eastAsia="en-NZ"/>
              </w:rPr>
              <w:t>A cleaning staff person informed they have undertaken chemical safety training and evidence of this was sighted in staff training records. Chemicals were stored in a lockable cupboard and were in appropriately labelled containers. Some healthcare assistants and kitchen hands will take on cleaning duties when required. Cleaning and laundry processes are monitored through the internal audit programme with the most recent being November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management, preparation and response are known to staff. The current fire evacuation plan was approved by the New Zealand Fire Service on 15 August 2003.  A trial evacuation takes place six-monthly with the most recent being on 22 August 2018 and 18 February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An (infection) outbreak kit is available and the contents checked according to the internal audit schedule. Likewise, for emergency supplies in a civil defence kit. The facility manager provided evidence of a recent review of the emergency plan and of the emergency kit by a person from the local civil defence unit who provided a staff education session. Updated disaster and civil defence planning guides direct the facility in their preparation for disasters and described the procedures to be followed in the event of a fire or other emergency. Supplies have also been adjusted according to the latest recommendations provided and a new storage system is now in use. Adequate supplies for use in the event of a civil defence emergency, including food, water, blankets, mobile phones and gas BBQ’s were sighted and meet the requirements for full occupancy. In addition to the hot water cylinders, water storage tanks are located in the ceiling and additional water is in plastic bottles.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An electronic call bell system that enables the manager to print off response times for monitoring purposes is installed. Call buzzers alert staff via their pagers to residents requiring assistance.  Call system audits are completed on a regular basis and residents and families reported staff respond promptly to call bells. There have been no complaints about slow responses to call bells filed.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Doors and windows are locked by staff at a predetermined time and it is on staff task lists to undertake security checks of the facility at specific times with attention paid to the external doors of the bedrooms in the Magnolia wing. Security stays are on all windows and external sensor lights are installed.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There are some in the Magnolia wing that have doors that open onto outside garden or small patio areas.</w:t>
            </w:r>
          </w:p>
          <w:p w:rsidR="00EB7645" w:rsidRPr="00BE00C7" w:rsidP="00BE00C7">
            <w:pPr>
              <w:pStyle w:val="OutcomeDescription"/>
              <w:spacing w:before="120" w:after="120"/>
              <w:rPr>
                <w:rFonts w:cs="Arial"/>
                <w:b w:val="0"/>
                <w:lang w:eastAsia="en-NZ"/>
              </w:rPr>
            </w:pPr>
            <w:r w:rsidRPr="00BE00C7">
              <w:rPr>
                <w:rFonts w:cs="Arial"/>
                <w:b w:val="0"/>
                <w:lang w:eastAsia="en-NZ"/>
              </w:rPr>
              <w:t>Two forms of underfloor heating are in place and this is complemented by ceiling mounted electric heaters in areas where the underfloor heating systems are no longer functioning efficiently.  Monthly monitoring of room temperatures and of communal areas is undertaken with records sighted. Fan electric heaters are in bathrooms. A heat pump is in communal areas. Windows were open and fans in operation to improve ventilation on the day of audit. Residents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is the designated infection control officer whose role and responsibilities are defined in a job description. Infection control matters, including surveillance results, are reported monthly to the FM, the organisation’s quality clinical team and tabled at the facility’s quality/risk meeting. Infection control statistics are entered in the organisation’s electronic database and benchmarked within the organisation’s other facilities. The organisation’s quality clinical team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officer (ICO) has appropriate skills, knowledge and qualifications for the role, having undertaken post graduate training in infection prevention and control and attended relevant study days, as verified in training records sighted. Well-established networks with the microbiologist at South Canterbury Laboratory guide the ICO with any required IC advice. The ICO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ICO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the ICO.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Norovirus outbreak in April 2018.</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where able,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ICO and FM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The incidence of infections at Waterlea are evidenced to be low compared to the benchmarking data. Classification of infections for data collection at Waterlea is based on the McGreer definition. </w:t>
            </w:r>
          </w:p>
          <w:p w:rsidR="00EB7645" w:rsidRPr="00BE00C7" w:rsidP="00BE00C7">
            <w:pPr>
              <w:pStyle w:val="OutcomeDescription"/>
              <w:spacing w:before="120" w:after="120"/>
              <w:rPr>
                <w:rFonts w:cs="Arial"/>
                <w:b w:val="0"/>
                <w:lang w:eastAsia="en-NZ"/>
              </w:rPr>
            </w:pPr>
            <w:r w:rsidRPr="00BE00C7">
              <w:rPr>
                <w:rFonts w:cs="Arial"/>
                <w:b w:val="0"/>
                <w:lang w:eastAsia="en-NZ"/>
              </w:rPr>
              <w:t>Evidence was sighted of documentation including review and analysis of the Norovirus outbreak in April 2018, with corrective actions documented and attended to.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clinical services manager is currently undertaking the role of restraint coordinator who is currently on leave, and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there were no restraints or enablers in use at this facility and other than the finding at the last audit, when personal restraint was being used for one person, there has been no other restraint use. With no restraints having been used since the change of ownership, there was no restraint register. Reports in the quality and risk meeting minutes consistently confirmed they were not being used. Approximately six months ago, a person who is no longer in this service chose to use bedrails as an enabler and the restraint coordinator confirmed the person was competent and had consented.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during interview that it is a restraint free environment and they described the differences between a restraint and an enabler. They also stated they receive training about restraints, enablers and their management during orientation, in the national certificate training as well as annually as in-service. This was evident in the staff training records.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70"/>
        <w:gridCol w:w="1280"/>
        <w:gridCol w:w="8301"/>
        <w:gridCol w:w="308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addition to the ongoing education programme, the facility manager and the clinical services manager have targeted staff education as a key approach to address areas identified as requiring improvement. There has been a tangible increase in staff attendance at in-service sessions and there has been good attendance at a diverse range of ‘toolbox talks’ on issues such as management of infections and diabetes. Education of staff was planned to address the shortcomings regarding restraint use that was identified at the provisional audit and all staff have since been updated on restraint and enabler use to ensure they have a good understanding and there is no repeat of the finding. A caregiver has spent several years upskilling as a moving and handling competency assessor and has earned obvious respect of her colleagues who are cooperating with her instructions. There are 13 healthcare assistants with level four national certificate and none with level three, out of 25 healthcare assistants.</w:t>
            </w:r>
          </w:p>
          <w:p w:rsidR="00EB7645" w:rsidRPr="00BE00C7" w:rsidP="00BE00C7">
            <w:pPr>
              <w:pStyle w:val="OutcomeDescription"/>
              <w:spacing w:before="120" w:after="120"/>
              <w:rPr>
                <w:rFonts w:cs="Arial"/>
                <w:b w:val="0"/>
                <w:lang w:eastAsia="en-NZ"/>
              </w:rPr>
            </w:pPr>
            <w:r w:rsidRPr="00BE00C7">
              <w:rPr>
                <w:rFonts w:cs="Arial"/>
                <w:b w:val="0"/>
                <w:lang w:eastAsia="en-NZ"/>
              </w:rPr>
              <w:t>The management-led passion for education has filtered to staff and there was evidence of excitement when the value of training was discussed during a staff meeting. During discussion, both the facility and clinical services managers attributed the 27% decrease in falls over 2018 to be the result of the focus on staff education. This strategy was used as a number of staff had already shown receptivity to learning, as described above. A quality improvement project plan demonstrated that education was a key aspect of the process, alongside physical changes such as the use of sensor mats, mapping of falls, decluttering, physiotherapy reviews, intentional sighting of frequent fallers, repeated monitoring and additional supervision. Ultimately, and the aspect that has earned the team a continuous improvement, an evaluation of the project identified additional staff knowledge, which increased their awareness and enabled them to actively co-operate with implementing the plan, as the primary reasons for this positive outcome for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attendance at in-service education sessions, the uptake of external training opportunities, the number and topics of toolbox talks aimed at addressing identified needs for quality improvements and the significant 27% reduction in the incidence of falls that the management team attribute to the type and frequency on related staff education is demonstrating continuous improvement.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Waterlea Rest Home</w:t>
    </w:r>
    <w:bookmarkEnd w:id="58"/>
    <w:r>
      <w:rPr>
        <w:rFonts w:cs="Arial"/>
        <w:sz w:val="16"/>
        <w:szCs w:val="20"/>
      </w:rPr>
      <w:tab/>
      <w:t xml:space="preserve">Date of Audit: </w:t>
    </w:r>
    <w:bookmarkStart w:id="59" w:name="AuditStartDate1"/>
    <w:r>
      <w:rPr>
        <w:rFonts w:cs="Arial"/>
        <w:sz w:val="16"/>
        <w:szCs w:val="20"/>
      </w:rPr>
      <w:t>7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