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Highfield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Highfield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February 2019</w:t>
      </w:r>
      <w:bookmarkEnd w:id="7"/>
      <w:r w:rsidRPr="009418D4">
        <w:rPr>
          <w:rFonts w:cs="Arial"/>
        </w:rPr>
        <w:tab/>
        <w:t xml:space="preserve">End date: </w:t>
      </w:r>
      <w:bookmarkStart w:id="8" w:name="AuditEndDate"/>
      <w:r w:rsidR="00A4268A">
        <w:rPr>
          <w:rFonts w:cs="Arial"/>
        </w:rPr>
        <w:t>5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Highfield Rest Home provides rest home care for up to 44 residents. The service is operated by Heritage Lifecare (BPA) Limited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This audit has resulted in a continuous improvement in infection surveillance. There are no areas identified for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Staff were noted to be interacting with residents in a respectful manner. </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A comprehensive Māori health plan and related policies guide care. </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 xml:space="preserve">The service has linkages with a range of specialist health care providers, which contributes to ensuring services provided to residents are of an appropriate standard. </w:t>
      </w:r>
    </w:p>
    <w:p w:rsidRPr="00A4268A">
      <w:pPr>
        <w:spacing w:before="240" w:line="276" w:lineRule="auto"/>
        <w:rPr>
          <w:rFonts w:eastAsia="Calibri"/>
        </w:rPr>
      </w:pPr>
      <w:r w:rsidRPr="00A4268A">
        <w:rPr>
          <w:rFonts w:eastAsia="Calibri"/>
        </w:rPr>
        <w:t>There is a complaints process that is understood by residents, family members and staff and meets the requirements of the Code.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(NASC), to ensure access to the facility is appropriate and efficiently managed. When a vacancy occurs,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 frames. Registered nurses are available 24 hours each day in the facility and are supported by care and allied health staff and designated general practitioners. Shift handovers and communication notes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 </w:t>
      </w:r>
    </w:p>
    <w:p w:rsidRPr="00A4268A" w:rsidP="00621629">
      <w:pPr>
        <w:spacing w:before="240" w:line="276" w:lineRule="auto"/>
        <w:rPr>
          <w:rFonts w:eastAsia="Calibri"/>
        </w:rPr>
      </w:pPr>
      <w:r w:rsidRPr="00A4268A">
        <w:rPr>
          <w:rFonts w:eastAsia="Calibri"/>
        </w:rPr>
        <w:t>The planned activity programme, overseen by an activities co-ordinator,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senior care staff, all of whom have been assessed as competent to do so.</w:t>
      </w:r>
    </w:p>
    <w:p w:rsidRPr="00A4268A" w:rsidP="00621629">
      <w:pPr>
        <w:spacing w:before="240" w:line="276" w:lineRule="auto"/>
        <w:rPr>
          <w:rFonts w:eastAsia="Calibri"/>
        </w:rPr>
      </w:pPr>
      <w:r w:rsidRPr="00A4268A">
        <w:rPr>
          <w:rFonts w:eastAsia="Calibri"/>
        </w:rPr>
        <w:t>The food service is prepared and delivered on site and meets the nutritional needs of the residents with special needs catered for. Residents and their family/whānau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No enablers nor restraints were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appropriately trained infection control coordinator, aims to prevent and manage infections. There are terms of reference for the infection control committee which meets bi-monthly. Specialist infection prevention and control advice is accessed from the district health board (DHB), microbiologist, infectious diseases physician, and group clinical advisory committee. The programme is reviewed annually.</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 Aged care specific infection surveillance is undertaken, data is analysed, trended, and results reported through all levels of the organisation. Follow 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27"/>
        <w:gridCol w:w="1280"/>
        <w:gridCol w:w="96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Highfield Rest Home has developed policies, procedures and processes to meet its obligations in relation to the Code of Health and Disability Services Consumers’ Rights (the Code). A welcome pack and letter are prepared for each in coming resident and their family. Staff interviewed understood the requirements of the Code and were observed demonstrating respectful communication, encouraging independence, providing options to residents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which provides guidance to staff.  Registered nurses and care staff interviewed understand the principles and practice of informed consent and have received education on induction and as part of the annual education plan. Clinical records reviewed showed that informed consent has been gained appropriately using the organisation’s standard consent form including for photographs, visits from the GP and outings. Individual consent forms were sighted for vaccination, and valuables.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record. Evidence of a legally appointed EPOA when a resident is unable to give their own consent was present in the clinical records.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gain consent for day to day care on an ongoing basis.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interviewed were able to give examples of when verbal and written consent was obtained.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and family members are provided with information on the Code and the Advocacy Service and the facility identifies resident’s next of kin or Enduring Power of Attorney or welfare guardian as evidenced in the clinical record. If there is no-one identified, and the resident is in need of assistance or the resident requests assistance, they will be provided with advocacy network services and the HDC contact numbers. Staff are aware of how to access the Advocacy Service and examples of their involvement were discussed at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Posters related to the Code and Advocacy Service were also displayed in the facility, and additional brochures were available at reception. Residents and family/whānau interviewed confirmed an information pack on admission was supplied to them which included the Code of Rights and a pamphlet on the advocacy service and the clinical services manager had discussed all information in the pack with them. They were aware of their right to complain, how they would do this, their right to have a support person if required and the availability of an advocacy service and how to access this. None of the residents/family/whānau have had to access this service as they stated they were 100% satisfied with the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supports the philosophy of “The continued pursuit of excellence in care through monitoring, auditing, auctioning and evaluation of service whilst respecting and valuing our residents, families and staff” to the highest level of independence.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family/whānau and friends. Family members interviewed stated they felt welcome when they visited and comfortable in their dealings with staff, they could stay as long as they required, attend social events and could have family gatherings at the facility. They were encouraged to have continuing involvement in the day to day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(BPA) Limited - Highfield Rest Home (Highfield) complaints and concerns policy and associated forms meet the requirements of Right 10 of the Code.  Information on the complaint process is provided to residents and families on admission and those interviewed knew how to do so. Copies are also available at the front entrance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complaints have been received over the past year and that actions taken, through to an agreed resolution, are documented and completed within the timeframes.  Action plans showed any required follow up and improvements have been made where possible. The facility manager (FM)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(Advocacy Service) through the facility manager and clinical services manager as part of the admission process, the welcome pack and letter information provided, and during discussions with staff. The Code is displayed in a visible location at the entrance way to the rest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ensures that the residents’ rights to privacy and dignity are recognised and respected at all times. Staff understood the need to maintain privacy and were observed doing so throughout the audit while.  Residents are encouraged to maintain their independence by staff ensuring individual care plans are followed, encouraging attendance at community activities, participation in clubs of their choosing, and having family gatherings for birthdays and anniversaries in a private lounge on site. Family/whānau are encouraged to have meals with their family member and attend MDT meetings, activities and residents’ meetings to give feedback as confirmed in interviews with family members.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Staff have had training from Ear Health and the Foundation for the Blind to promote and ensure best practice for caring for and maintaining hearing aids.  Those residents affected by decreasing eyesight are registered with the Foundation for the Blind, have appropriate equipment and are taken to the social events.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is part of the orientation programme for staff, and is then provided on an annual basis, as confirmed in staff and training records. Interviews with residents and family/whānau confirmed they had not witnessed any abuse or neglect while 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residents in the service who identify as Māori to integrate their cultural values and beliefs. The principles of the Treaty of Waitangi underpin the Māori health strategies developed and are incorporated into day to day practice, as is the importance of whānau to Māori residents. There is a current Māori Health Plan developed with input from cultural advisers (updated April 2017). There is also the Māori perspective of health guide document which provides information about Māori beliefs in relation to illness, the Te whare tapa wha model of health and an outline of cultural belief experiences in relation to health in the context of Aotearoa New Zealand. </w:t>
            </w:r>
          </w:p>
          <w:p w:rsidR="00EB7645" w:rsidRPr="00BE00C7" w:rsidP="00BE00C7">
            <w:pPr>
              <w:pStyle w:val="OutcomeDescription"/>
              <w:spacing w:before="120" w:after="120"/>
              <w:rPr>
                <w:rFonts w:cs="Arial"/>
                <w:b w:val="0"/>
                <w:lang w:eastAsia="en-NZ"/>
              </w:rPr>
            </w:pPr>
            <w:r w:rsidRPr="00BE00C7">
              <w:rPr>
                <w:rFonts w:cs="Arial"/>
                <w:b w:val="0"/>
                <w:lang w:eastAsia="en-NZ"/>
              </w:rPr>
              <w:t>Current access to resources includes the contact details of the Director of local Māori Health at the DHB, local cultural advisers and all residents identifying themselves as Māori are offered the opportunity to have iwi, hapu and/or whānau contacted and present whenever desired, including for assessment and review of care. Staff receive education on cultural awareness during orientation to the service and annual in-service training as per education programme.Staff assist and support the resident and their whānau with spiritual and cultural requests and recognise use of Māori protocol, for example, karakia, waiata and whanaungatanga as appropriate.  On the days of audit there were no residents who identified as Māori in residence.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risk management plan and a cultural safety policy states that services will be delivered in a culturally safe manner to all residents, family/whānau and staff and acknowledges each individual’s spiritual and cultural values, beliefs and needs. Staff receive education on cultural safety at orientation and bi-annually and could describe culturally safe practices.</w:t>
            </w:r>
          </w:p>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any special requirements, including dietary needs were identified on admission and their preferences documented in all care plans reviewed. Cultural values, beliefs, spiritual, social and recreational needs were included in all care plans reviewed. Interviews with residents and their family/whānau confirmed that staff ensure the residents’ needs are met.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induction process for staff includes education related to the Code of Conduct which provides a very detailed set of behavioural parameters, professional boundaries and expected behaviours for staff to follow. All registered nurses have records of completion of the required training on professional boundaries.  Staff are provided with a Code of Conduct in both the staff orientation booklet, their individual employment contract and the Code of Conduct policy, and the Elder Abuse and Neglect policy. Staff interviewed demonstrated a clear understanding of what would constitute inappropriate behaviour and the processes they would follow should they suspect this was occurring. Staff were aware that the Code requirements must be met in their daily work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A general practitioner interviewed also expressed satisfaction with the standard of services provided to residents, was not aware of any incidents of elder abuse or neglect occurring in the previous twenty years of attending the facility, and reported that residents were safe at Highfield Rest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the diabetes nurse specialist, physiotherapist, occupational therapist, social workers, wound care nurse specialists, community dieticians, a psycho-geriatrician, mental health services for older persons, and links with the local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were observed promoting, advising and encouraging best practice with the caregivers on duty on the days of audit. There is regular in-service training for staff and external programmes available. Staff reported they receive management support for internal and external education through Careerforce training, Healthlearn and there was evidence of a compulsory plan for all staff where staff are booked to attend education to support contemporary good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(GP) confirmed the service sought prompt and appropriate medical intervention when required, staff were responsive to medical requests and treatment plans. The GP interviewed is also available by cell phone and text messaging ensuring he is available in a timely way for advice if any changes occur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‘eCase’ system for assessment, documentation, planning and evaluation which provides clarity and accountability around documentation. All interRAI care plans were current and informed the care planning process. Falls assessment and monitoring were documented and occurring with sensor mats in place and half hourly checks. Pressure injury prevention assessments and strategies were documented on eCase with pressure prevention mattresses and ‘roho’ cushions in place. On the days of audit there were no pressure injuries reported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extra fluid rounds, prompt answering of call bells, knocking on doors prior to entering the resident’s room and regular toileting rounds.  Residents and family/whānau interviewed confirmed their needs are promptly met and of an appropriate standard.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interpreter policy and a list of contact details of available interpreters. Interpreter services can be also be accessed via the DHB or Older Persons Health when required. Staff knew how to do so, although reported this was rarely required due to all residents able to speak English. Staff can provide interpretation as and when needed with the use of family members, and communication cards which are available for any potential residents for whom English is not their first language.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principles of open disclosure, which is supported by policies and procedures that meet the requirements of the Code. Residents and family/whānau members interviewed stated they were kept well informed about any changes to their relative’s status, were advised in a timely manner about any incidents or accidents and were involved in regular and any urgent medical reviews, or if unable to attend, outcomes were reported to them. This was supported in residents’ records reviewed where evidence of regular communication with family/whānau was documented.  There was also evidence of resident/family/whānau input into the assessment and care planning process, re-evaluations and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Limited (HLL) uses a standard template for the organisation’s business plans for each site. Highfield Rest Home has site specific objectives, which link to the organisation’s quality plan objectives. </w:t>
            </w:r>
          </w:p>
          <w:p w:rsidR="00EB7645" w:rsidRPr="00BE00C7" w:rsidP="00BE00C7">
            <w:pPr>
              <w:pStyle w:val="OutcomeDescription"/>
              <w:spacing w:before="120" w:after="120"/>
              <w:rPr>
                <w:rFonts w:cs="Arial"/>
                <w:b w:val="0"/>
                <w:lang w:eastAsia="en-NZ"/>
              </w:rPr>
            </w:pPr>
            <w:r w:rsidRPr="00BE00C7">
              <w:rPr>
                <w:rFonts w:cs="Arial"/>
                <w:b w:val="0"/>
                <w:lang w:eastAsia="en-NZ"/>
              </w:rPr>
              <w:t>The FM reports weekly and monthly to HLL. The weekly report is on occupancy, general comments on movements, health and safety and compliance issues (incidents/accidents), new risks identified, and any outstanding issues. The general manager clinical and quality transfers these to the organisation’s risk register and / or updates the register as needed. Compliments and complaints, staffing and HR issues including training, property and environment issues and general comments are included.  Weekly reports are reviewed at operations level and a report by this team to the senior executive at a monthly meeting.</w:t>
            </w:r>
          </w:p>
          <w:p w:rsidR="00EB7645" w:rsidRPr="00BE00C7" w:rsidP="00BE00C7">
            <w:pPr>
              <w:pStyle w:val="OutcomeDescription"/>
              <w:spacing w:before="120" w:after="120"/>
              <w:rPr>
                <w:rFonts w:cs="Arial"/>
                <w:b w:val="0"/>
                <w:lang w:eastAsia="en-NZ"/>
              </w:rPr>
            </w:pPr>
            <w:r w:rsidRPr="00BE00C7">
              <w:rPr>
                <w:rFonts w:cs="Arial"/>
                <w:b w:val="0"/>
                <w:lang w:eastAsia="en-NZ"/>
              </w:rPr>
              <w:t>The monthly report includes clinical indicators and interRAI assessment information. Indicators include falls with and without injury, pressure injuries, urinary tract infections (UTIs), skin tears, bruising, behavioural events, wound infections, acquired infections, and the clinical managers (CSM) or FM sends a narrative report with the data report. Based on these reports a spread sheet with graphs is collated at HLL head office and the Q&amp;C manager prepares a compliance report to the GM and 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Highfield Rest Home is managed by a FM who holds relevant qualifications and has been in the role for four years. Responsibilities and accountabilities are defined in a job description and individual employment agreement. The FM confirmed knowledge of the sector, regulatory and reporting requirements and maintains currency through HLL training update days and sector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South Canterbury District Health Board for rest home level care and for one mental health resident. Twenty-six residents were receiving services under the rest home contract and one resident under the MH contract at the time of audit. There were also 14 residents who were private paying.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FM is absent, the CSM carries out all the required duties under delegated authority. During absences of key clinical staff, the clinical management is overseen by another registered nurse (RN)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has a planned quality and risk system that reflects the principles of continuous quality improvement. This includes management of incidents and concerns/complaints, audit activities, a regular patient satisfaction survey, monitoring of outcomes, clinical incidents including infections and interRAI outcomes. It is detailed and specifies the roles and responsibilities of all staff members, in particular the FM and CSM.  The FM has developed the quality plan and goals, maintains the document management and control in the facility and is responsible for monitoring and reporting on progress against the quality goals in her weekly manager’s report.  The CSM’s responsibilities include providing clinical leadership in the facility for the implementation of the plan, providing educational support for the staff and RNs, and providing early warning to the FM on risks.  </w:t>
            </w:r>
          </w:p>
          <w:p w:rsidR="00EB7645" w:rsidRPr="00BE00C7" w:rsidP="00BE00C7">
            <w:pPr>
              <w:pStyle w:val="OutcomeDescription"/>
              <w:spacing w:before="120" w:after="120"/>
              <w:rPr>
                <w:rFonts w:cs="Arial"/>
                <w:b w:val="0"/>
                <w:lang w:eastAsia="en-NZ"/>
              </w:rPr>
            </w:pPr>
            <w:r w:rsidRPr="00BE00C7">
              <w:rPr>
                <w:rFonts w:cs="Arial"/>
                <w:b w:val="0"/>
                <w:lang w:eastAsia="en-NZ"/>
              </w:rPr>
              <w:t>Document control is managed at HLL head office by the general manager clinical and quality. All documents are updated and sent out via memo with instructions for replacement in manuals in hard copy. FMs are requested to send back a declaration that the documents have been updated on site. Policies reviewed covered all necessary aspects of the service and contractual requirements, including reference to the interRAI Long Term Care Facility (LTCF) assessment tool and process. Policies reviewed are based on best practice and were current.</w:t>
            </w:r>
          </w:p>
          <w:p w:rsidR="00EB7645" w:rsidRPr="00BE00C7" w:rsidP="00BE00C7">
            <w:pPr>
              <w:pStyle w:val="OutcomeDescription"/>
              <w:spacing w:before="120" w:after="120"/>
              <w:rPr>
                <w:rFonts w:cs="Arial"/>
                <w:b w:val="0"/>
                <w:lang w:eastAsia="en-NZ"/>
              </w:rPr>
            </w:pPr>
            <w:r w:rsidRPr="00BE00C7">
              <w:rPr>
                <w:rFonts w:cs="Arial"/>
                <w:b w:val="0"/>
                <w:lang w:eastAsia="en-NZ"/>
              </w:rPr>
              <w:t>There are terms of reference for the committees which are held at Highfield; restraint standards approval, quality, health and safety, resident care review, resident and family, staff meeting, registered nurses. Meeting minutes reviewed confirmed regular review and analysis of quality indicators and that related information is reported and discussed at all management, clinical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internal audit schedule within the quality improvement plan. This sets out a comprehensive programme of audits across the year to monitor all aspects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is provided to all staff annually on the quality and risk management system, including incidents, accidents, complaints, hazards and risks. Staff reported their involvement in quality and risk management activities through audit activities, meetings and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Relevant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most recent survey showed cleaning and food at tea time as an issue for a small number of respondents. The service addressed the food issue at the residents’ meeting with a positive result. The FM provided additional cleaning over the winter months to improve the cleaning. Residents confirmed that the issues have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described the processes for the identification, monitoring, review and reporting of risks and development of mitigation strategies. The organisation’s standard risk management plan includes Highfield’s site-specific risk register.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and transferred to the electronic reporting system. A sample of incidents forms reviewed showed these were fully completed, incidents were investigated, action plans developed and actions followed-up in a timely manner. Adverse event data is collated, analysed and reported to the HLL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Essential notifications are the responsibility of the general manager clinical and quality. FM’s report incidents/accidents as noted and serious events are included in this. They advised there have been two notifications of significant events made to the Ministry of Health, since the previous audit. One (a power outage) has been resolved, and the second is a recent medication event and the investigation into this is in progress.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three-months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Eight care staff have either completed or commenced a New Zealand Qualification Authority education programme which is voluntary. A staff member is the internal assessor for the programme. All staff complete training to meet the requirements of the provider’s agreement with the DHB.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four weeks of rosters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as the unique identifier on all residents’ information sighted. All necessary demographic, personal, clinical and health information was fully completed in the residents’ files sampled for review.</w:t>
            </w:r>
          </w:p>
          <w:p w:rsidR="00EB7645" w:rsidRPr="00BE00C7" w:rsidP="00BE00C7">
            <w:pPr>
              <w:pStyle w:val="OutcomeDescription"/>
              <w:spacing w:before="120" w:after="120"/>
              <w:rPr>
                <w:rFonts w:cs="Arial"/>
                <w:b w:val="0"/>
                <w:lang w:eastAsia="en-NZ"/>
              </w:rPr>
            </w:pPr>
            <w:r w:rsidRPr="00BE00C7">
              <w:rPr>
                <w:rFonts w:cs="Arial"/>
                <w:b w:val="0"/>
                <w:lang w:eastAsia="en-NZ"/>
              </w:rPr>
              <w:t>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families/whānau are encouraged to visit the facility prior to admission and meet with the Facility Manager (FM) and/or Clinical Service Manager (CSM) when written information about the service and the admission process is provided.  Pre-entry screening is carried out by the FM whose role is to keep notes of the meeting and the CSMs role is to determine suitability of placement. The decision on whether the resident is to be admitted is made within 48 hours. The screening to entry is to determine any potential risks involved in the provision of service. The service operates a waiting list for entry.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prior to admission and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general practitioner confirmed the facility notifies and transfers in a timely manner ensuring the resident and family members are consistently communicated with throughout the process. The service uses the DHB’s ‘yellow envelope’ system to facilitate transfer of residents to and from acute care services. There is open communication between all services, the resident and the family.  At the time of transition between services, appropriate information, including medication records, 24 hours of medication, 24 hours of progress notes, wound charts (where applicable), and any advance directives are provided for the ongoing management of the resident. A checklist ensures this occurs. All referrals are documented in the progress notes. An example reviewed of a patient recently transferred to the local acute care facility, showed a planned, co-ordinated transfer to the acute care service and transition back again. Family members of the resident were kept well informed during the transfers of their relative as evidenced in documentation in the family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currently under review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was observed on the day of audit with the registered nurse wearing a green apron, identifying not to be disturbed as the medication round was in progress. The staff observed demonstrated good knowledge and had a clear understanding of their roles and responsibilities related to each stage of medicine management.  All staff who administer medicines are competent to perform the function they manage and have completed annual medication competencies and medication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registered nurse against the prescription and any pharmacy errors are recorded and fed back to the supplying pharmacy. The pharmacist collects medications and replaces controlled drugs. All medications sighted were within current use by dates. Clinical pharmacist input is provided six monthly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stock on hand and six monthly stock checks and accurate entries.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Residents who self-administer medications have a competency assessment and appropriate processes and documentation are in place to ensure this is managed in a safe manner as verified at audit. Pain assessments were well documented in response to analgesia administered.</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and managed in line with legislation and guidelines and the records of temperatures for the medicine fridge has temperatures recorded daily and these were within acceptable ranges. There were no expired medications.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system is in use ‘Medimap’ with best practice prescribing noted, including identification of the prescriber and the date recorded on the commencement and discontinuation of medicines and all requirements for pro re nata (PRN) medicines met. The required three monthly general practitioner review is consistently recorded on Medimap with prompts before the review is due.  The pharmacist has access to the Medimap system and medication reconciliation is occurring. </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clinical services manager and recorded on the incident reporting system, which alerts the facility manager and quality and risk co-ordinator. The resident and/or the designated representative are advised. There is a process for comprehensive analysis of any medication errors, and compliance with this process was verified.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the kitchen manager and kitchen assistants and was in line with recognised nutritional guidelines for older people.  The menu follows summer and winter patterns and has been developed by a qualified dietitian in November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Documentation of temperatures of inwards goods arriving is occurring with temperatures recorded on arrival to the facility. Fridge/freezer temperatures of stored foods were consistently being recorded and documented daily.</w:t>
            </w:r>
          </w:p>
          <w:p w:rsidR="00EB7645" w:rsidRPr="00BE00C7" w:rsidP="00BE00C7">
            <w:pPr>
              <w:pStyle w:val="OutcomeDescription"/>
              <w:spacing w:before="120" w:after="120"/>
              <w:rPr>
                <w:rFonts w:cs="Arial"/>
                <w:b w:val="0"/>
                <w:lang w:eastAsia="en-NZ"/>
              </w:rPr>
            </w:pPr>
            <w:r w:rsidRPr="00BE00C7">
              <w:rPr>
                <w:rFonts w:cs="Arial"/>
                <w:b w:val="0"/>
                <w:lang w:eastAsia="en-NZ"/>
              </w:rPr>
              <w:t>The food services manager has undertaken a safe food handling qualification, with kitchen assistants completing relevant food handling training. A food control plan was audited and signed off on the 21st June 2018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kitchen manager is notified of any allergies, dietary changes, weight loss or other dietary requirements. The personal food preferences, any special diets and modified texture requirements are made known to kitchen staff and accommodated in the daily meal plan.  Residents have access to food and fluids to meet their nutritional needs at all times. Special equipment, to meet resident’s nutritional needs, is available and was observed in use.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residents’ satisfaction with meals was verified by resident and family interviews, satisfaction surveys, whereby residents have the opportunity to contribute to the content of menus, and in resident meeting minutes. Residents were observed to be given sufficient time to eat their meal and those requiring assistance had this provided. There were enough staff on duty in the dining rooms at meal times to ensure appropriate assistance and staff were observed assisting residents on both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Any decision to decline entry to the facility is covered in the policy resident screening and selection. When declining entry, either because the prospective resident does not meet the entry criteria or there is currently no vacancy, a meeting is arranged with the resident and/or their family or advocate and the decision to decline entry is conveyed. The local NASC service is advised to ensure the prospective resident and family are supported to find an appropriate care alternative.</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service is made and a new placement found, in consultation with the GP, resident and family/whanau. Examples of this occurring were discussed with the CSM.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sample of care plans reviewed had an integrated range of resident related information. All residents’ files reviewed had a current interRAI assessment which informed the individual care plan and life style plan. Short term care plans were implemented when needed, re-evaluated and either signed off or transferred into the long term care plan. The needs, goals, outcomes were identified from the assessment process and documented to inform service delivery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documented using a range of validated nursing assessment tools, for example, the Norton scale risk assessment tool, Abbey falls assessment tool, nutritional assessment tool and profile, continence assessment, oral assessment, pain assessment, pressure injury risk assessment, depression scale, cultural assessment and life style assessment. These, and other assessments identify any deficits and informed care planning.  </w:t>
            </w:r>
          </w:p>
          <w:p w:rsidR="00EB7645" w:rsidRPr="00BE00C7" w:rsidP="00BE00C7">
            <w:pPr>
              <w:pStyle w:val="OutcomeDescription"/>
              <w:spacing w:before="120" w:after="120"/>
              <w:rPr>
                <w:rFonts w:cs="Arial"/>
                <w:b w:val="0"/>
                <w:lang w:eastAsia="en-NZ"/>
              </w:rPr>
            </w:pPr>
            <w:r w:rsidRPr="00BE00C7">
              <w:rPr>
                <w:rFonts w:cs="Arial"/>
                <w:b w:val="0"/>
                <w:lang w:eastAsia="en-NZ"/>
              </w:rPr>
              <w:t>Residents/family/whānau confirmed they were involved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‘Guidelines for writing care plans’ stated that residents will have a care plan developed within 24 hours of admission.  An individual lifestyle plan is developed within three weeks of admission and this was seen in all files reviewed in ‘eCase’. Short term care plans are developed in response to specific problems and kept on the resident’s file for as long as needed. If the problem continues, it is included in the long term care plan. The guidelines documents include frequency of reviews (See standard 1.3.8). </w:t>
            </w:r>
          </w:p>
          <w:p w:rsidR="00EB7645" w:rsidRPr="00BE00C7" w:rsidP="00BE00C7">
            <w:pPr>
              <w:pStyle w:val="OutcomeDescription"/>
              <w:spacing w:before="120" w:after="120"/>
              <w:rPr>
                <w:rFonts w:cs="Arial"/>
                <w:b w:val="0"/>
                <w:lang w:eastAsia="en-NZ"/>
              </w:rPr>
            </w:pPr>
            <w:r w:rsidRPr="00BE00C7">
              <w:rPr>
                <w:rFonts w:cs="Arial"/>
                <w:b w:val="0"/>
                <w:lang w:eastAsia="en-NZ"/>
              </w:rPr>
              <w:t>All care plans reviewed reflected the support needs of residents, and the outcomes of the integrated assessment process and other relevant clinical information. Care plans evidenced service integration with progress notes, medical and allied health professionals’ notations clearly written, informative and relevant. Any change in care required is documented and verbally passed on to relevant staff. Clinical staff have annual training in care planning.</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care provided to residents was consistent with their needs, goals and the plan of care.  The attention to meeting a diverse range of resident’s individualised needs was evident.  The general practitioner interviewed, verified that medical input is sought in a timely manner, that medical orders are followed, and care is of a high standard at Highfield Rest Home. The facility manager, clinical service manager, registered nurse, diversional therapist and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for clinical staff lists a range of topics to be delivered annually, including nutrition and hydration, promoting continence and managing incontinence, skin management and pressure area prevention, wound care, observing and reporting, pain management, falls prevention – mobility and safe transfers.</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were available, suited to the level of care provided and in accordance with the resident’s identified needs, as observed at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co-ordinated by the activities co-ordinator and one diversional therapist who works on a casual basis. Between them they provide activities across five days a week. The activities co-ordinator was on leave at the time of the audit. The diversional therapist was interviewed who is responsible for taking residents out on van outings.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life history is undertaken on admission to ascertain residents’ needs, interests, abilities and social requirements. Activities assessments which include the resident and their family/whānau members are regularly reviewed to help formulate an activities programme that meets the individual needs and interests of the resident. The resident’s activity needs are evaluated as their needs change, monthly, and as part of the formal six monthly care plan review. The individual activity plan was reviewed at the same time as the care plan in all residents’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included normal community activities. Individual, group activities, exercise classes and regular events are offered. One on one activities are organised for those who choose not to join the group activities or have special needs. Interdenominational church services occur weekly at the facility. The physiotherapist or trained staff undertake a mobility/exercise programme with groups and individually on a daily basis as observed at audit.</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residents’ meetings, to which residents and family/whānau are invited, and their input is sought and responded to. Residents and family members interviewed confirmed this is occurring. Residents’ minutes and family satisfaction surveys demonstrated satisfaction with the programme and that information is used to improve the range of activities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daily.  If any change is noted, it is reported to the registered nurse or clinical service manager. General practitioner reviews occur three monthly. Formal care plan evaluations occur every six months in conjunction with the six-monthly interRAI reassessment or as residents’ needs change.  Evaluations are documented by the clinical service manager. Where progress is different from expected, the service responds by initiating changes to the plan of care. Examples of short term care plans being consistently reviewed were noted for urinary tracts infections (UTIs), falls, infections, and any changes in the resident’s normal status. Progress was evaluated as clinically indicated at least weekly and according to the degree of risk noted during the assessment process. Other plans, such as wound management plans, were evaluated each time the dressing was changed.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interviewed provided examples of involvement in evaluation of progress.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All residents have the choice of their own general practitioner. If the need for other non-urgent services are indicated or requested, the general practitioner, clinical service manager or registered nurse sends a referral to seek specialist input.  Copies of referrals were sighted in residents’ files, including to the physiotherapist, occupational therapist, gerontology clinical nurse specialist, oncology support service, wound care specialist, and older persons’ mental health. Referrals are followed up on a regular basis by the registered nurse or the general practitioner.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the required training. An external company is contracted to supply and manage all chemicals and cleaning products and they also provide relevant training for staff and audit for effectiveness.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May 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 and setting, as observed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knew the processes they should follow if any repairs or maintenance was required and that requests are appropriately actioned. Residents reported that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a small number of rooms with shared ensuites.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Rooms are personalised with furnishings, photos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and wheel chairs.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designated cleaning staff who have received appropriate training, as confirmed in interview and review of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by an external contractor.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29 Nov 2005.  A trial evacuation takes place six-monthly with a copy sent to the New Zealand Fire Service, the most recent being on 11 December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full number of residents. Water storage tanks are located around the complex. Emergency lighting is regularly tested. The facility has a memorandum of understanding with another facility to shelter residents if required in an emergency. The organisation has a process in place to ensure a generator is available if required.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most have doors that open onto outside garden or small patio area. Heating is provided by thermostatically controlled ceiling heaters in residents’ rooms and in the communal areas. Areas were comfortable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clinical services manager/infection prevention and control officer (IPC). The infection control programme and manual are reviewed annually and due for review next in March 2019. </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 manager/registered nurse, with support from the facility manager is the designated IPC coordinator, whose role and responsibilities are defined in a job description. Infection control matters, including surveillance results, are reported monthly to the facility manager and tabled at the quality/risk committee meeting.  There is a bimonthly IPC meeting which includes all staff, and minutes are available for staff. Regular audits have been conducted and education has been provided for staff, residents, family members and visitors.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(IPC) coordinator has appropriate skills, knowledge and qualifications for the role. The infection control co-ordinator has been in the role for the previous five years and has completed recent ongoing training. The facility manager supports the IPC co-ordinator.  Well-established local networks with the infection control nurse specialist, district health board, infectious diseases physician, and Older Persons Health are available and expert advice from the laboratory can be sought if additional support/information is required. The IPC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Infection prevention and control is part of staff orientation and induction. Hand washing facilities are available throughout the facility and alcohol hand gel is freely available and was observed being used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and IPC programme are current and reflect the requirements of the infection prevention and control standard and current accepted good practice.</w:t>
            </w:r>
          </w:p>
          <w:p w:rsidR="00EB7645" w:rsidRPr="00BE00C7" w:rsidP="00BE00C7">
            <w:pPr>
              <w:pStyle w:val="OutcomeDescription"/>
              <w:spacing w:before="120" w:after="120"/>
              <w:rPr>
                <w:rFonts w:cs="Arial"/>
                <w:b w:val="0"/>
                <w:lang w:eastAsia="en-NZ"/>
              </w:rPr>
            </w:pPr>
            <w:r w:rsidRPr="00BE00C7">
              <w:rPr>
                <w:rFonts w:cs="Arial"/>
                <w:b w:val="0"/>
                <w:lang w:eastAsia="en-NZ"/>
              </w:rPr>
              <w:t>Caregivers,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and had had recent training in infection prevention and control.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infection prevention and control at orientation and ongoing six monthly education sessions. Education is provided by suitably qualified IC registered nurses, and the infection prevention and control coordinator. Content of the training is documented and evaluated to ensure it is relevant, current and understood.  A record of attendance is maintained.</w:t>
            </w:r>
          </w:p>
          <w:p w:rsidR="00EB7645" w:rsidRPr="00BE00C7" w:rsidP="00BE00C7">
            <w:pPr>
              <w:pStyle w:val="OutcomeDescription"/>
              <w:spacing w:before="120" w:after="120"/>
              <w:rPr>
                <w:rFonts w:cs="Arial"/>
                <w:b w:val="0"/>
                <w:lang w:eastAsia="en-NZ"/>
              </w:rPr>
            </w:pPr>
            <w:r w:rsidRPr="00BE00C7">
              <w:rPr>
                <w:rFonts w:cs="Arial"/>
                <w:b w:val="0"/>
                <w:lang w:eastAsia="en-NZ"/>
              </w:rPr>
              <w:t>When an increase in infection incidence has occurred, there was evidence that additional staff education had been provided in response. There has not been an infection outbreak in the facility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with residents is on a one-to-one basis and has included, reminders about hand washing, advice about remaining in their room if they are unwell, increasing fluids to prevent urinary tract infections and extra fluids in hot weather.  Families confirmed they were also advised by staff that if unwell not to enter the facility and were educated about cough technique and hand washing. Discussion on IPC occurs at residents’ meetings which relatives were invited 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individual infection register in the resident’s clinical record, infection reporting form, and resident management system. The infection control coordinator reviews all reported infections. There has been improved outcomes for residents with a 75% reduction in respiratory infections in residents following a project implemented and reviewed end of 2018 comparing the previous three years data. This has demonstrated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Surveillance is conducted and data reported through the clinical service manager KPI indicator report to the facility manager and quality team where data is graphed, analysed and benchmarked against other Heritage Lifecare facilities. This is reported to the national clinical and quality manager and the executive board. Results of the surveillance programme are shared with staff via regular staff meetings, at staff handovers and a spread sheet is put on the staff notice board as confirmed at meeting minutes sighted and interviews with staff.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and no residents were using enablers. There have not been any restraints used for at least eight years according to the CSM.</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45"/>
        <w:gridCol w:w="1280"/>
        <w:gridCol w:w="7483"/>
        <w:gridCol w:w="26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While evaluating surveillance data over three years the service identified a higher number of respiratory infections in 2015 and in 2017, a slight reduction had occurred in 2016. Considerations were explored that South Canterbury has a higher than average influenza rate and that as a rest home only facility, many residents were accessing the community more. The goal was to reduce the number of cases of respiratory infections by December 2018.</w:t>
            </w:r>
          </w:p>
          <w:p w:rsidR="00EB7645" w:rsidRPr="00BE00C7" w:rsidP="00BE00C7">
            <w:pPr>
              <w:pStyle w:val="OutcomeDescription"/>
              <w:spacing w:before="120" w:after="120"/>
              <w:rPr>
                <w:rFonts w:cs="Arial"/>
                <w:b w:val="0"/>
                <w:lang w:eastAsia="en-NZ"/>
              </w:rPr>
            </w:pPr>
            <w:r w:rsidRPr="00BE00C7">
              <w:rPr>
                <w:rFonts w:cs="Arial"/>
                <w:b w:val="0"/>
                <w:lang w:eastAsia="en-NZ"/>
              </w:rPr>
              <w:t>The service introduced the following initiatives to assist with this, beginning with staff infection prevention and control education, with a focus on staff then providing training to residents and their family/whānau on hand hygiene. The number of hand sanitising dispensers in the facility were increased and all staff were provided with pocket hand sanitisers. Infection control prevention is an agenda topic for resident /family whānau meetings and preventions discussed, such as cough technique and hand hygiene demonstrations. Hand hygiene is routine for all residents prior to meals and group activities. Residents admitted or returning from hospital and with early signs or symptoms of cough or cold remain in their rooms for 48 hours; this is also notified by newsletter.</w:t>
            </w:r>
          </w:p>
          <w:p w:rsidR="00EB7645" w:rsidRPr="00BE00C7" w:rsidP="00BE00C7">
            <w:pPr>
              <w:pStyle w:val="OutcomeDescription"/>
              <w:spacing w:before="120" w:after="120"/>
              <w:rPr>
                <w:rFonts w:cs="Arial"/>
                <w:b w:val="0"/>
                <w:lang w:eastAsia="en-NZ"/>
              </w:rPr>
            </w:pPr>
            <w:r w:rsidRPr="00BE00C7">
              <w:rPr>
                <w:rFonts w:cs="Arial"/>
                <w:b w:val="0"/>
                <w:lang w:eastAsia="en-NZ"/>
              </w:rPr>
              <w:t>Following a review of the initiatives, the following additional changes were implemented: the introduction of weekly clinical meetings to enhance the monitoring of “at risk” residents; cuff first gloves were introduced under the new ownership of the facility; and additional staff education on infection prevention was provided by an external expert in infection prevention.</w:t>
            </w:r>
          </w:p>
          <w:p w:rsidR="00EB7645" w:rsidRPr="00BE00C7" w:rsidP="00BE00C7">
            <w:pPr>
              <w:pStyle w:val="OutcomeDescription"/>
              <w:spacing w:before="120" w:after="120"/>
              <w:rPr>
                <w:rFonts w:cs="Arial"/>
                <w:b w:val="0"/>
                <w:lang w:eastAsia="en-NZ"/>
              </w:rPr>
            </w:pPr>
            <w:r w:rsidRPr="00BE00C7">
              <w:rPr>
                <w:rFonts w:cs="Arial"/>
                <w:b w:val="0"/>
                <w:lang w:eastAsia="en-NZ"/>
              </w:rPr>
              <w:t>An evaluation has occurred that demonstrates improved outcomes for residents including a 75% (13 infections in total for 2018) reduction in respiratory infections. The influenza numbers in the community have remained high but vigilance at Highfield Rest Home has seen a marked reduction in chest infections by December 2018. All initiatives are now standard practice at the rest home.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IPC project was initiated, implemented and re-evaluated from the previous three years data and findings were that the facility had demonstrated improved outcomes for residents through their IPC initiatives by a 75% reduction in respiratory infections in total in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Highfield Rest Home</w:t>
    </w:r>
    <w:bookmarkEnd w:id="58"/>
    <w:r>
      <w:rPr>
        <w:rFonts w:cs="Arial"/>
        <w:sz w:val="16"/>
        <w:szCs w:val="20"/>
      </w:rPr>
      <w:tab/>
      <w:t xml:space="preserve">Date of Audit: </w:t>
    </w:r>
    <w:bookmarkStart w:id="59" w:name="AuditStartDate1"/>
    <w:r>
      <w:rPr>
        <w:rFonts w:cs="Arial"/>
        <w:sz w:val="16"/>
        <w:szCs w:val="20"/>
      </w:rPr>
      <w:t>4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