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Well Health Care Limited - Fencible Manor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Well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Fencible Manor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December 2018</w:t>
      </w:r>
      <w:bookmarkEnd w:id="7"/>
      <w:r w:rsidRPr="009418D4">
        <w:rPr>
          <w:rFonts w:cs="Arial"/>
        </w:rPr>
        <w:tab/>
        <w:t xml:space="preserve">End date: </w:t>
      </w:r>
      <w:bookmarkStart w:id="8" w:name="AuditEndDate"/>
      <w:r w:rsidR="00A4268A">
        <w:rPr>
          <w:rFonts w:cs="Arial"/>
        </w:rPr>
        <w:t>13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Fencible Manor is owned and operated by the owner/manager who is also a registered nurse.  The service can provide care for up to 19 residents.  On the day of audit there were 17 rest home residents.  The residents and family members commented positively on the care and services provided.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and staff.</w:t>
      </w:r>
    </w:p>
    <w:p w:rsidRPr="00A4268A">
      <w:pPr>
        <w:spacing w:before="240" w:line="276" w:lineRule="auto"/>
        <w:rPr>
          <w:rFonts w:eastAsia="Calibri"/>
        </w:rPr>
      </w:pPr>
      <w:r w:rsidRPr="00A4268A">
        <w:rPr>
          <w:rFonts w:eastAsia="Calibri"/>
        </w:rPr>
        <w:t xml:space="preserve">The facility is managed by an experienced and suitably qualified manager who is a registered nurse (RN) and has been in this position since 2015.  </w:t>
      </w:r>
    </w:p>
    <w:p w:rsidRPr="00A4268A">
      <w:pPr>
        <w:spacing w:before="240" w:line="276" w:lineRule="auto"/>
        <w:rPr>
          <w:rFonts w:eastAsia="Calibri"/>
        </w:rPr>
      </w:pPr>
      <w:r w:rsidRPr="00A4268A">
        <w:rPr>
          <w:rFonts w:eastAsia="Calibri"/>
        </w:rPr>
        <w:t>This audit identified improvements required around resident/family meetings.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stated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Fencible has a documented quality and risk management system.  Key components of the quality management system include management of complaints, implementation of an internal audit schedule, incidents and accidents, review of infections, restraint, review of risk and monitoring of health and safety including hazard management.  There is a monthly staff meeting that includes health and safety, infection control, review of incidents and accidents and discussion of quality and risk.  Human resources policies are in place including a documented rationale for determining staffing levels and skill mixes.  There is an implemented orientation programme that provides new staff with relevant information for safe work practice.  There is a roster that provides sufficient and appropriate coverage for the effective delivery of care and there is sufficient staff on duty always.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All residents have a needs assessment prior to admission.  The registered nurse is responsible for the provision of care and documentation at every stage of service delivery.  Residents/relatives are involved in planning and evaluating care.  The two activity coordinators implement the activity programme that meets the individual needs, preferences and abilities of the residents.  Community links are maintained.  There are regular entertainers, outings, and celebrations.  Medications are managed appropriately in line with accepted guidelines.  Staff who administer medications have an annual competency assessment and receive annual education.  Medication charts are reviewed three-monthly by the GP.  All baking and meals are prepared and cooked on-site.  Residents' food preferences are identified at admission.  This includes consideration of any dietary preferences or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Documented systems are in place for essential, emergency and security services.  There is a staff member on duty at all times with a current first aid certificate.  Chemicals are stored safely throughout the facility.  Appropriate policies are available along with product safety charts.  The building holds a current warrant of fitness.  Resident rooms are spacious, some with ensuites, and are personalised.  External areas are safe and well maintained.  A bus is hired monthly for outings.  The dining room and lounge are spacious.  Cleaning and laundry services are well monitored through the internal auditing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nurse/quality and risk coordinator is the restraint coordinator.  There were no residents with restraint or enabler.  The service has a locked front door.  Resident files include documented consents for the locked door.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coordinator/owner is responsible for coordinating education and training for staff.  The infection control coordinator has completed infection control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6"/>
        <w:gridCol w:w="1280"/>
        <w:gridCol w:w="85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and two relatives interviewed confirmed that information has been provided around the Code of Rights.  Residents stated that their rights are respected when receiving services and care.  There is a resident rights policy in place.  Discussion with two caregivers, the RN owner (manager) and a registered nurse (RN) identified that they are aware of the Code of Rights and can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resuscitation and advanced directives.  Residents are required to sign an admission agreement on entry to the service.  The service uses an industry template which includes the requirements of the aged residential care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five files reviewed included signed agreements.  Each file included signed consents and resuscitation instructions.  Staff were aware of advanced directives.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that they can access advocacy services if needed.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confirmed that family and friends can visit at any time and visitors were observed attending the home.  Residents and relatives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is maintained on the online complaint register.  The owner/manager manages all complaints.  Only one complaint is documented, and this has been resolved to the satisfaction of the complainant.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advised that they are aware of the complaints procedure.  Complaints forms are available at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of Rights (English and Māori) is also displayed in the resident areas.  There is a welcome information folder that includes information about the Code of Rights.  Residents and relatives stated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physical and personal privacy for residents.  During the audit, staff were observed treating residents with respect and ensuring their dignity is maintained.  Staff (two caregivers and one registered nurse) described how they maintain resident privacy, including knocking on the residents’ doors before entering, as observed on the day of audit.  Staff attend privacy, and dignity and abuse and neglect in-service as part of their education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cultural safety policy and Māori health policies to guide staff in the delivery of culturally safe care.  The Māori health policy identifies the importance of whānau.  Cultural assessment plan and evaluations of care for Māori are completed for those who identify with Māori.  There were no residents who identified as Māori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Care plans are reviewed at least six-monthly to ensure the resident’s individual culture, values and beliefs are being met.  Staff recognise and respond to values, beliefs and cultural differences.  Residents are supported to maintain their spiritual needs.  Chinese culture is celebrated as a high proportion of residents are Chinese.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Professional boundaries are defined in job descriptions.  Staff were observed to be professional within the culture of a family environment.  Caregivers can describe how they build a supportive relationship with each resident.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is designed to monitor contractual and standards compliance, and the quality of service delivery in the facility.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resident satisfaction survey reflects high levels of satisfaction with the services received.  Policies and procedures have been updated by the external policy provider and are available to staff.  Staff meetings have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There are implemented competencies for caregivers.  There are clear ethical and professional standards and boundaries within job descriptions.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This was observed on the day of audit.  The service has not conducted any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documented that relatives have been notified of the incident.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informed prior to entry of the scope of services and any items they must pay for that is not covered by the agreement.  An interpreter service is available if required and many staff speak Mandarin.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Fencible Manor is owned and operated by the registered nurse owner/manager.  The service can provide care for up to 19 residents.  On the day of audit there were 17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quality and business plans have been reviewed by the owner annually, and outline the purpose, values, scope and direction and goals of the organisation.  The documents described short and long-term objectives and the associated operational plans.  There are established systems, policies and procedures for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owner is a registered nurse who has owned the facility since 2015.  She confirmed knowledge of the sector, regulatory and reporting requirements and maintains her annual practising certificate.  She attends relevant courses and education sessions on the aged care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owner/manager, the service casual RN maintains oversight of the facility.  A current practising certificate for the owner/manager and casual RN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a range of policies and procedures in place to support service delivery that have been reviewed regularly by the service and external contractor.  Staff are informed of any new/reviewed policies through handovers and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staff meetings.  Meeting minutes’ evidence discussion around a wide range of quality data.  Trends are identified and analysed for areas of improvement.  Caregivers confirmed that they are kept informed on quality data including corrective actions and quality initiatives.  Internal audits are completed as scheduled, including environmental and clinical audits.  Corrective action plans are raised, completed and signed off for any corrective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is the health and safety coordinator and health and safety is documented as discussed at monthly staff meetings.  An up-to-date hazard register is documented and reviewed each month.</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and the identification of interventions on a case-by-case basis to minimise future falls.  A falls analysis tool (face clock) is used to trend time and location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the health and safety framework, there is an accident/incident policy.  The service collects incident and accident data monthly and provides reports to monthly staff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incident forms were reviewed from October and November 2018.  All incident forms reviewed identified a timely RN assessment of the resident, corrective actions or recommendations and all had been completed and signed off by the RN or owner/manager.  The next of kin have been notified for all incidents/accidents.  The caregivers interviewed could discuss the incident reporting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All staff records reviewed confirmed the organisation’s policies are being consistently implemented and records are maintained.  Staff orientation includes all necessary components relevant to the role.  Staff reported that the orientation process prepared them well for their role.  Staff records reviewed showed documentation of completed orientation booklets.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manager is interRAI trained.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roster includes the owner on duty Monday to Friday (a registered nurse), with a casual RN providing leave cover and working alongside the manager to relieve her for managerial duties when needed.</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includes one long shift caregiver plus a short shift caregiver who also provides activities.</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includes one long shift caregiver plus a short shift who also provide kitchen assistance.</w:t>
            </w:r>
          </w:p>
          <w:p w:rsidR="00EB7645" w:rsidRPr="00BE00C7" w:rsidP="00BE00C7">
            <w:pPr>
              <w:pStyle w:val="OutcomeDescription"/>
              <w:spacing w:before="120" w:after="120"/>
              <w:rPr>
                <w:rFonts w:cs="Arial"/>
                <w:b w:val="0"/>
                <w:lang w:eastAsia="en-NZ"/>
              </w:rPr>
            </w:pPr>
            <w:r w:rsidRPr="00BE00C7">
              <w:rPr>
                <w:rFonts w:cs="Arial"/>
                <w:b w:val="0"/>
                <w:lang w:eastAsia="en-NZ"/>
              </w:rPr>
              <w:t>There is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on-call roster is in place, with staff reporting that good access to advice is available when needed.  Care staff reported there were adequate staff available to complete the work allocated to them.  Residents and family interviewed supported this.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Fencible Manor has admission policies and processes.  The owner/manager screens all potential residents prior to entry, ensuring that the appropriate level of care is available.  Residents and relatives interviewed confirmed they received information prior to admission and had the opportunity to discuss the admission agreement with the owner/manager or the RN.  The admission agreement form in use aligns with the requirements of the ARRC contract.  Exclusions from the service are included in the admission agreement.  Admission agreements sighted were signed in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Fencible Manor policies and procedures describe guidelines for death, discharge, transfer, documentation and follow-up.  Records are kept with the residents’ files.  One resident was transferred on day of audit and evidence was sighted that all relevant documentation was accompanying the resident.  Communication with the family is made and this is documented.  Both the owner/manager and RN were able to discuss the process of transfer.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place for ensuring that all medicines-related recording and documentation meet acceptable good practice standards.  Ten medication charts were reviewed on the paper-based medication system.  All medication charts had photo identification and an allergy status.  The GP reviews the medication charts at least three-monthly.  The administration records reviewed, identified medications had been administered as prescribed.  Fencible Manor uses roll packaging for regular medication.  Medications are checked on arrival by the RN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administration is completed by the RN and medicine competent caregivers.  Medications are stored securely in the locked cupboard.  Expired medications are returned to the supplying pharmacy.  There was no controlled medication on site at the time of audit.  Should there be any in use, a metal safe was available and a controlled drug register.  Medication competencies have been completed for staff.  There were no residents self-medicating on the day of audit.  There was documented evidence confirming medication reconciliation following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Fencible Manor employs two cooks, who between them cover each day.  The kitchen staff have completed food safety certificates.  There is a four-weekly seasonal menu which has been reviewed by a dietitian in November 2018, changes had been made and it was further reviewed in December 2018.  Food, fridge and freezer temperatures are monitored and documented daily.  The resident satisfaction survey includes food services and the cook asks for feedback from the residents after their meal.  The residents have a nutritional profile developed on admission, which identifies dietary requirements and likes and dislikes.  This is reviewed six-monthly as part of the care plan review.  Changes to residents’ dietary needs are communicated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Five residents interviewed stated that they were happy with the food service.  Two relatives also were complimentary of the food provided and staff commented that as there was a number of Asian residents, their likes were catered for with a number of Asian meals provided for them.  Observation at mealtime (lunch) evidenced staff assisting residents as required.  All perishable goods are date-labelled.  A cleaning schedule is maintained.  The owner/manager stated that a food control plan has been completed and the site is currently awaiting verification.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The owner/manager or RN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outcomes and goals of residents were identified through the assessment process in the files sampled.  Continuing needs/risk assessments are carried out by the RNs.  Residents and family were consulted and agreed with intervention outcomes.  Along with the interRAI assessment, other clinical assessments were completed, such as falls assessment, nutritional assessment, continence assessment and pressure injury risk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files reviewed showed that all files evidenced timely initial interRAI assessments and re-assessments.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interventions provided evidence of individualised support.  Care plans demonstrated service integration and input from allied health.  Short-term care plans are in use for changes in health status and were evident in resident files for skin infection, urinary tract infection and chest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relatives identified that the care being provided is consistent with the needs of residents.  The GP interviewed advised that the service is prompt at notifying acute medical events and staff respond in a timely manner to requests.  The caregivers (including the assistant manager) interviewed, stated that they have all required equipment referred in care plans and necessary to provide care.  All staff reported that there are adequate continence supplies and dressing supplies.  On the day of the audit plentiful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Five residents and two families interviewed were complimentary of care received at the facility.  Monitoring charts were sighted in files sampled.  These included (but were not limited to) weight monitoring, behaviour management, pain management level and vital signs.  Interview with the RN confirmed that this information is used in care plan reviews and short-term care planning.  Wound assessment and wound management plans would be used if a resident had a wound (interview with RN) but at time of audit no residents had a wound.  The RN interviewed described the referral process, should they require assistance from a wound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is also a qualified carer and the assistant manager.  Three hours a day are dedicated to delivering activities to residents, Monday to Friday.  There is a wide range of activities offered that reflect the resident needs with participation being voluntary.  The programme includes fortnightly visits from entertainers, a tai chi instructor and visits from a school group also occur.  A bus is hired monthly for outings.  On the day of the audit, residents were observed being actively involved with a variety of activities including one resident playing the piano while another sang to a very high standard.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displayed in large print in communal areas and resident bedrooms.  Residents and families interviewed voiced their satisfaction for the activities programme and felt that recreational needs were being met.  Residents have an activities assessment completed on entry to the service, including a complete history of past and present interests, career, family etc.  On interview, the activities coordinator was able to confirm her involvement in care planning with the RN and relevant family members and/or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are evaluated by the RN within three weeks of admission.  Five files were reviewed.  In three files, the long-term care plans were evaluated at least six-monthly or earlier if there was a change in health status.  Evaluations document progress toward goals or expected outcomes.  In two files, the six-monthly care plan evaluations were not yet due.  There is at least a three-monthly review by the GP.  Changes in health status are documented and followed up.  Short-term care plans are utilised for acute changes in the residents’ condition.  These were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owner/manager and the RN identified that Fencible Manor has access to external specialist providers.  Referral documentation is maintained on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related to the management of waste and hazardous substances and these were implemented.  Staff interviewed were aware of practices outlined in relevant policy.  Gloves, aprons, and goggles are available, and staff were observed wearing personal protective clothing while carrying out their duties.  Chemicals sighted were labelled correctly and stored safely throughout the facility.  Safety datasheets are available.  Staff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23 March 2019.  There is sufficient space for residents to safely mobilise using mobility aids and communal areas are easily accessible.  There is safe access to the large outdoor balconies.  Seating and shade is provided.  Interviews with caregivers confirmed there was adequate equipment.  The owner/manager oversees the maintenance and repairs.  The property maintenance schedule is in place and external contractors are used as required.  Annual calibration of clinical equipment is completed.  Electrical testing has been completed.  There is a programme of refurbishing bedrooms.  A number had been completed and refurbishment of two further rooms was due to commence in the new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sufficient toilets and showers for the resident population.  Six of the bedrooms have full ensuites, a further two have toilets and all have hand basins.  There is also a staff and visitor toilet available.  Communal toilets and bathrooms have appropriate signage and shower curtains installed for privacy.  Paper hand towel dispensers and flowing soap are available for use in all toilet areas.  All residents interviewed reported that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enough to accommodate the resident’s own furnishings, as desired, and are large enough to easily manoeuvre transferring and mobility equipment to safely deliver care.  Caregivers and the RN reported that rooms have sufficient space to allow cares to take place.  The doors are wide enough for ambulance trolley access.  Residents are encouraged to personalise their bedrooms 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spacious dining area and a large separate main lounge.  All furniture is safe and suitable for the residents.  Communal areas are easily accessible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care staff have a period of their duty dedicated to cleaning.  Staff have access to a range of chemicals, cleaning equipment and protective clothing.  Caregivers complete the laundry services.  The laundry consists of two separate rooms, one for dirty laundry and one room for clean.  Staff were observed implementing infection control practices.  The effectiveness of the cleaning and laundry processes are monitored through internal audits and surveys.  Residents and relatives interviewed were satisfied with the standard of cleanliness and laundry services in the facility and survey results were positive.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A fire evacuation plan is in place that has been approved by the New Zealand Fire Service.  Six-monthly fire evacuation practice documentation was sighted, with the last fire evacuation drills occurring on 18 July 2018 and December 2018.  Fire training and security situations are part of orientation for new staff.  There are adequate supplies in the event of a civil defence emergency including sufficient food, water (in containers replaced six monthly), and alternate gas cooking (portable gas cooker).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and first aid kits available.  A minimum of one person trained in first aid is on duty 24/7.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rooms have an opening window to the outside and all bedrooms have adequate natural light.  Residents’ rooms are heated individually.  On the day of the audit all areas were a comfortable temperature and well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the current RN (owner/manager).  She has completed an infection control course.  The infection control coordinator oversees infection control for the facility and is responsible for the collation of infection events.  Infection events are collated monthly and reported to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infection control programme has been reviewed and is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completed on-line infection control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the infection control nurse specialist at the DHB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and updated by an external contractor who provides all policies and the quality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both the monthly staff/quality meetings.  Trends are identified, and preventative measures put in place.  Internal audits for infection control are included in the annual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There is close liaison with the GP that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no residents with restraints in use and no residents with enablers.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locked front door.  The key code is documented next to the door.  Five resident files reviewed all had a consent for the locked door.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4"/>
        <w:gridCol w:w="1280"/>
        <w:gridCol w:w="4745"/>
        <w:gridCol w:w="1348"/>
        <w:gridCol w:w="35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provided with information on entry to services and the current owner/manager has an open-door policy for all residents and relatives.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have been no resident meetings held.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that residents have a formal process for discussing the service, resident meeting should be held and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Well Health Care Limited - Fencible Manor Rest Home</w:t>
    </w:r>
    <w:bookmarkEnd w:id="58"/>
    <w:r>
      <w:rPr>
        <w:rFonts w:cs="Arial"/>
        <w:sz w:val="16"/>
        <w:szCs w:val="20"/>
      </w:rPr>
      <w:tab/>
      <w:t xml:space="preserve">Date of Audit: </w:t>
    </w:r>
    <w:bookmarkStart w:id="59" w:name="AuditStartDate1"/>
    <w:r>
      <w:rPr>
        <w:rFonts w:cs="Arial"/>
        <w:sz w:val="16"/>
        <w:szCs w:val="20"/>
      </w:rPr>
      <w:t>13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