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(BPA) Limited - Riverside Care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(BPA)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Riverside Care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January 2019</w:t>
      </w:r>
      <w:bookmarkEnd w:id="7"/>
      <w:r w:rsidRPr="009418D4">
        <w:rPr>
          <w:rFonts w:cs="Arial"/>
        </w:rPr>
        <w:tab/>
        <w:t xml:space="preserve">End date: </w:t>
      </w:r>
      <w:bookmarkStart w:id="8" w:name="AuditEndDate"/>
      <w:r w:rsidR="00A4268A">
        <w:rPr>
          <w:rFonts w:cs="Arial"/>
        </w:rPr>
        <w:t>18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Reconfiguration to support residential, disability/physical certification.</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Riverside care home and hospital provides rest home, hospital and dementia care services for up to 65 residents. The service is operated by Heritage Lifecare (BPA) Limited and managed by a facility manager and clinical services manager.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A reconfiguration to support the service provider application for a residential, disability/physical certification was also completed during this audit. The audit process included review of policies and procedures, review of residents’ and staff records, observations and interviews with residents, the quality/education assessor, family members, managers, staff, contracted health providers and a general practitioner.</w:t>
      </w:r>
    </w:p>
    <w:p w:rsidRPr="00A4268A">
      <w:pPr>
        <w:spacing w:before="240" w:line="276" w:lineRule="auto"/>
        <w:rPr>
          <w:rFonts w:eastAsia="Calibri"/>
        </w:rPr>
      </w:pPr>
      <w:r w:rsidRPr="00A4268A">
        <w:rPr>
          <w:rFonts w:eastAsia="Calibri"/>
        </w:rPr>
        <w:t xml:space="preserve">There were no areas identified as requiring improvement as a result of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goals and values of the organisation. Monitoring of the services, provided to the national support office, is regular and effective. An experienced and suitably qualified person manages the facility.</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Organisation wide policies and procedures support service delivery and were current and reviewed regularly.</w:t>
      </w:r>
    </w:p>
    <w:p w:rsidRPr="00A4268A">
      <w:pPr>
        <w:spacing w:before="240" w:line="276" w:lineRule="auto"/>
        <w:rPr>
          <w:rFonts w:eastAsia="Calibri"/>
        </w:rPr>
      </w:pPr>
      <w:r w:rsidRPr="00A4268A">
        <w:rPr>
          <w:rFonts w:eastAsia="Calibri"/>
        </w:rPr>
        <w:t>The appointment, orientation and management of staff is based on good practice.  A comprehensive orientation programme is implemented for all staff groups. A systematic approach to identify and deliver ongoing education supports safe service delivery and includes regular individual performance review. Staffing levels and skill mix meet the changing needs of residents. Registered nurse cover is provided 24 hours a day seven days a week.</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All 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reviewed and recently implemented new policies and procedures that support the minimisation of restraint. One enabler and one restraint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93"/>
        <w:gridCol w:w="1280"/>
        <w:gridCol w:w="100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of both young and older residents.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Residents’ files reviewed of those admitted to the dementia unit showed that the resident’s enduring power of attorney had been enacted.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and contact details were also displayed and available at reception and throughout the facility. Family members and residents spoken with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requirements around the provider’s application for reconfiguration/certification of the service to cater for residential services - disability/physical was completed and demonstrated that no changes will be required to the current service to cater for the needs of this group.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and concerns policy which meets the requirements of Right 10 of the Code. There is a flowchart associated with the policy to assist staff in understanding the process for complaints management. The information is provided to residents and their families on admission and there is information and forms available in the information pack and forms were sighted in all service areas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four complaints have been received over the past year and that actions were taken through to an agreed resolution. Appropriate timeframes specified in the Code were effectively met. Action plans reviewed showed any required follow-up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responsible for complaints management and follow up.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reported that there have been no investigations by the Health and Disability Commissioner, the Ministry of Health, the District Health Board (DHB), Accident Compensation Corporation (ACC), Coroner or the Police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 being made aware of the Code and the Nationwide Health and Disability Advocacy Service (Advocacy Service) as part of the admission information provided, discussion with staff.  The Code is displayed in the main foyer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younger and older, and their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Residents are encouraged to maintain their independence by attending regular community activities, arranging their own visits to the doctor, participation in clubs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annually.</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requirements around the provider’s application for reconfiguration/certification of the service to cater for residential services - disability/physical was completed and showed that young people with disabilities are able to maintain their individual identities and preferences.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 clinical services manager interviewed reported that there are three residents who affiliate with their Māori culture. There are no barriers in supporting residents who are admitted to the facility who identify as Māori.  There is a specific current Māori health plan with all values and beliefs acknowledged with the support of the Te Whare Tapa Wha model and evidenced and integrated into long-term care plans with input from cultural advisers (local Māori minister and iwi) within the local community as required (see also criterion 1.3.7).  Guidance on tikanga best practice is available and is supported by staff who identify as Māori in the facility.  The residents whom affiliate with their Māori culture and their whānau were not available for interview.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the hospice/palliative care team, dietician, speech language therapist,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knocking on residents’ doors before entering, day to day conversations between residents, family and staff, and the acknowledging and welcoming of families visiting.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Both young and older residents and family members interviewed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able to speak English.  There were two residents acknowledged with a significant sensory impairment.  There was appropriate equipment and resources sighted and highlighted in residents’ long-term care plans reviewed, for example staff providing clear conversation and staff allowing time for the resident to respond.  Support from external services included a speech language therapist.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Language and communication needs for young people with a disability are able to be met with staff aware of individual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plan 2018-2019, which is reviewed annually for the organisation, outlines the purpose, values, scope, direction and objectives of the organisation. The facility manager, clinical services manager and the quality manager at Riverside care home and hospital also develop site specific objectives which link with the quality plan objectives. The documents reviewed described annual and longer term objectives and the associated action plan. The facility manager provides weekly reports on occupancy, health and safety, complaints and compliance issues (incidents/accidents), new risks identified and/or any outstanding issues, for example. The quality manager interviewed provides monthly reports to Heritage Lifecare (BPA) Limited (HLL) directly to the general manager clinical and quality (GMCQ), including all clinical indicators and information provided from the clinical services manager. The information provided includes falls with and without injury, pressure injuries, infection rates and the narrative reports and data reports. The service quality manager collates the information and provides all information in graph form prior to forwarding onto the GMCQ. Prior to reporting to the GMCQ the quality manager reports the results to the facility manager, clinical services manager and the staff directly. If any trends are identified at this stage a corrective action form is completed and actioned as soon as possible.</w:t>
            </w:r>
          </w:p>
          <w:p w:rsidR="00EB7645" w:rsidRPr="00BE00C7" w:rsidP="00BE00C7">
            <w:pPr>
              <w:pStyle w:val="OutcomeDescription"/>
              <w:spacing w:before="120" w:after="120"/>
              <w:rPr>
                <w:rFonts w:cs="Arial"/>
                <w:b w:val="0"/>
                <w:lang w:eastAsia="en-NZ"/>
              </w:rPr>
            </w:pPr>
            <w:r w:rsidRPr="00BE00C7">
              <w:rPr>
                <w:rFonts w:cs="Arial"/>
                <w:b w:val="0"/>
                <w:lang w:eastAsia="en-NZ"/>
              </w:rPr>
              <w:t>The service philosophy is in an understandable form and is available to residents and family/representatives or other services involved in referring residents to the service. It is also documented in the information pack provided and reviewed.</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is a registered nurse and has worked at this facility for nine years. They have been in the current manager role for two years. The facility manager is supported by the quality manager and a clinical services manager and has attended relevant business management and aged related conferences and study days.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district health board (DHB) and (MoH) for hospital, rest home, younger person disabled (YPD) dementia and respite care services. Sixty five (65) beds are available. On the day of audit, there were 63 residents; (21) rest home, (17) hospital level care, (6) YPD (MoH) (4) residents are (rest home level) and (2) are (hospital level). In addition there are (3) respite care residents (2) under ACC &amp; (1) is rest home level care. There are (16) dementia level care residents.</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requirements around the provider’s application for reconfiguration/certification of the service to cater for residential services - disability/physical was completed. The provider is suitable to provide this service. No changes will be required to the current service. The organisation has been catering for the needs of this group for some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facility manager is absent, the clinical services manager carries out all the required duties under delegated authority. The clinical services manager (CSM) has been in this role for two years. Support is also provided from HLL support office, at all times. During absences of key clinical staff, the clinical management is overseen by one of the senior registered nurses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system that reflects the principles of continuous improvement and is understood by the staff. This includes management of incidents/accidents, complaints and audit activities, an annual satisfaction survey, monitoring of outcomes, clinical incidents including infections and restraint minimisation and safe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Terms of reference and meeting minutes sighted confirmed adequate reporting systems and discussion occurs on quality matters. Regular review and analysis of quality indicators occurs, and related information is reported and discussed at the weekly team meetings, and quality and staff meetings held monthly. Minutes reviewed included discussion on pressure injuries, restraints, falls, complaints, incident/adverse events, infections, audit results and the activities programme. Staff interviewed reported their involvement in quality and risk activities through audit activities, for example, for the laundry and the kitchen. Any relevant corrective actions are developed and implemented as necessary to demonstrate continuous improvement is occurring. Resident and family surveys are completed annually and are sent out from the HLL support office.  This includes younger people with a disability. The last survey was completed in October 2018. The facility manager commented that there had been a smooth transition after the change of ownership, across all areas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covered all necessary aspects of the service and contractual requirements and were current. The document control system is managed at HLL support office by the quality and compliance team. All documents are updated as required and sent out via a memorandum with instructions for replacement in the manuals. The facility manager sends back a declaration that the documents have been updated on site. This process ensures a systematic and regular review process, referencing of relevant resources, approval, distribution and removal of obsolete documents. Staff are updated on any new policies or changes to policies through the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 for the identification, monitoring of risks and development of mitigation strategies. The risk register is updated at head office. The service risk register showed consistent review and updating of any risks identified, risk plans and the addition of any new risks. The facility manager, clinical services manager and the quality manager are aware of and have attended training in the Health and Safety at Work Act (2015) requirements and have implemented requirements.  A senior caregiver interviewed is the health and safety representative and two other staff have recently been elected for this role and/or committee.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Heritage Lifecare (BPA) Limited (HLL) authorised the position of the quality manager at Riverside care home and hospital as part of the transition process when purchasing this facility. The quality manager interviewed ensures any adverse event reported is dealt with immediately.  The quality manager reported that addressing more minor incidents before they manifest into more significant events has been valuable for the service and that the aim of adverse event reporting is to close the ‘quality loop’ quickly and effectively.  The incident management process is closely linked to the quality and risk management system. Incidents are now all recorded on an electronic system which has been implemented since the previous audit. The incident/accident information reviewed was fully completed, incidents were investigated, actioned and follow-up was completed in a timely manner. Adverse event data is collated, analysed and reported by the quality manager to the facility manager and clinical services manager monthly. Meeting minutes reviewed showed discussion in relation to any trends, action plans and improvements made. Corrective action plans were identified and acted upon as required by the quality and clinical services manager (CSM) who collates this information monthly and sends to the quality and compliance team at HLL support office. The FM and CSM feed back to the staff at the staff/quality meetings.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interviewed described essential notification reporting requirements. The service has had no notifications of significant events made to the Ministry of Health (MoH)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line with good employment practice and relevant legislation and guide human resources management processes. Position descriptions reviewed were current and defined key tasks and accountabilities for the various roles.  The facility manager is responsible for the recruitment process which includes referee checks, police vetting and validation of qualifications and practising certificates (APCs) where required. A sample of staff records reviewed confirmed the organisation’s policies are being consistently implemented and records are systematically maintained. Employment checklists were used in the front of each individual staff record sighted. The records were well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and included support from a ‘buddy’ through their initial orientation period. Staff records reviewed showed documentation of completed orientation and a performance review annually.</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The in-service education schedule was sighted. Mandatory training requirements are defined and scheduled to occur over the course of the year. An education register has been developed and implemented for 2019 and a record is maintained by the quality manager. Competencies are maintained and were recorded on the competency register reviewed. Care staff have completed the required education to meet the requirements of the provider’s agreement with the DHB. Education records reviewed demonstrated completion of the required training. Eight of twelve registered nurses have completed and are competent to perform interRAI assessments. Time is allocated to the staff for completing the required assessments.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staff working in the dementia service are all qualified to work in this service having completed the approved dementia care levels of training required. Training to meet the needs of younger individuals with disabilities occurs.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that the annual performance appraisal process provides an opportunity to discuss individual training needs and to review competencies. Appraisals were in progress at the time of audit and the facility manager has an appraisal schedule displayed in the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organisation (HLL) uses ‘allocation of staff/duty rosters’, an electronic tool based on indicators for safe staffing, and this is used by the facility manager and the clinical services manager when preparing the rosters There is a documented rationale for safe staffing.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able to adjust staffing levels to meet the changing needs of residents. An after-hours on call roster is in place with staff reporting that good access to advice is available when needed. The facility manager and the clinical services manager are on call seven days a week. Care staff reported there were adequate staff available to complete the work allocated to them. Residents and families interviewed supported this.</w:t>
            </w:r>
          </w:p>
          <w:p w:rsidR="00EB7645" w:rsidRPr="00BE00C7" w:rsidP="00BE00C7">
            <w:pPr>
              <w:pStyle w:val="OutcomeDescription"/>
              <w:spacing w:before="120" w:after="120"/>
              <w:rPr>
                <w:rFonts w:cs="Arial"/>
                <w:b w:val="0"/>
                <w:lang w:eastAsia="en-NZ"/>
              </w:rPr>
            </w:pPr>
            <w:r w:rsidRPr="00BE00C7">
              <w:rPr>
                <w:rFonts w:cs="Arial"/>
                <w:b w:val="0"/>
                <w:lang w:eastAsia="en-NZ"/>
              </w:rPr>
              <w:t>The rosters reviewed confirmed adequate staff cover has been provided with staff replaced in unplanned absences. There are registered nurses on every shift in all areas of service delivery except on the night duty where there is one registered nurse supported by three caregivers across all services. The clinical services manager and the facility manager work Monday to Friday. Adequate care staff cover the facility on all shifts with various ‘short shifts’ being available to provide additional support at the busy times across the twenty four hour period.  Staff interviewed commented that any emergency situations are managed effectively. All staff have completed first aid courses and certificates were in the staff records reviewed. There are 12 registered nurses including the clinical services manager and facility manager. All have competencies for medication management, verification of death, wound care management, female and male catheterisation and other medical and palliative care management roles. Eight of twelve (12) registered nurses are interRAI competent.</w:t>
            </w:r>
          </w:p>
          <w:p w:rsidR="00EB7645" w:rsidRPr="00BE00C7" w:rsidP="00BE00C7">
            <w:pPr>
              <w:pStyle w:val="OutcomeDescription"/>
              <w:spacing w:before="120" w:after="120"/>
              <w:rPr>
                <w:rFonts w:cs="Arial"/>
                <w:b w:val="0"/>
                <w:lang w:eastAsia="en-NZ"/>
              </w:rPr>
            </w:pPr>
            <w:r w:rsidRPr="00BE00C7">
              <w:rPr>
                <w:rFonts w:cs="Arial"/>
                <w:b w:val="0"/>
                <w:lang w:eastAsia="en-NZ"/>
              </w:rPr>
              <w:t>A reconfiguration to support the provider’s application for residential, disability/physical certification was completed. The provider is suitable to provide this service. No changes will be required to the current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both younger and older, enter the service when their required level of care has been assessed and confirmed by the local Needs Assessment and Service Coordination (NASC) Service.  Files reviewed of residents requiring dementia level care showed evidence of been seen by a specialist. Being deemed incompetent to make an informed choice, the resident’s enduring power of attorney have signed the admission agreement giving consent for the resident to be admitted.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r w:rsidRPr="00BE00C7">
              <w:rPr>
                <w:rFonts w:cs="Arial"/>
                <w:b w:val="0"/>
                <w:lang w:eastAsia="en-NZ"/>
              </w:rPr>
              <w:t>A reconfiguration to support the provider’s application for residential, disability/physical certification was completed. The provider is suitable to provide this service. No changes to the current service will be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clear and ongoing communication between the facility, acute services and family.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with six monthly audits and as required.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included the prescriber’s signature and date recorded on the commencement and discontinuation of medicines and all requirements for pro re nata (PRN) medicines met. The required three-monthly GP review is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at the time of audit. The registered nurse interviewed stated that there were no barriers to young residents who wanted to self-administer medications as long as they were deemed safe to do so.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kitchen manager/cook (not available for interview at the time of audit), a further three cooks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New Plymouth District Council which expires December 2020. Food temperatures, including for high risk items, are monitored appropriately and recorded as part of the plan. All kitchen staff have undertaken a safe food handling qualification.</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in the secure unit have access to food and fluids to meet their nutritional needs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All food is cooked on site and served directly to the adjacent rest home dining room and dementia and hospital dining rooms by mobile hot boxes.  Residents also have the option of having meals in their rooms.</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nutritional screening and depression scale, challenging behaviours, as a means to identify any deficits and to inform care planning. The sample of care plans reviewed had an integrated range of resident-related information.  All residents have current interRAI assessments completed by one of eight trained interRAI assessors on site and this includes the clinical services manager.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all residents, young and older, and the outcomes of the integrated assessment process and other relevant clinical information. The needs identified by the interRAI assessments were reflected in care plans reviewed.  Residents’ files reviewed in the dementia unit had behaviour management plans which identified triggers and interventions for behaviours which are integrated into a 24-hour activity plan </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changes will be required to the current service to meet the needs of young people with a disability.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provided is ‘holistic’.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trained diversional therapists holding the national Certificate in Diversional Therapy.  The residents are supported in the rest home and hospital area Monday to Friday 8.30 am to 5.00pm and in the dementia unit Monday to Friday 9.30 am to 4.00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families/whānau are involved in evaluating and improving the programme through residents’ meetings, satisfaction surveys and day to day discussions. Residents interviewed confirmed they find the programme meets their needs.  The diversional therapists interviewed stated that the residents from the rest home, hospital and dementia units integrate most days with activities, but that the dementia unit has its own calendar.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supports six young persons with disabilities whom are supported and encouraged to partake in activities of interest within the facility and out in the community.  Each resident has an individual activity plan with the majority of the young persons regularly attending different daily and weekly activities provided by a local iwi community programme. The programme provides support with, for example, cooking classes, swimming, wellness walks, gym, gardening, shopping and van trips.  For young people who choose not to partake in activities, one to one support is provided in the form of regular daily visits by the community group with one person who is supported to attend a separate day programme based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from the secure dementia unit are specific to the needs and abilities of the people living there. Activities are offered at times when residents are most physically active and/or restless.  This includes distraction, one to one support and activities of interest highlighted for each resident over a 24-hour activity plan.  The residents in the dementia unit also have access to an outside garden which has a car, letter box, bus stop and garden that residents can interact safely with as part of their daily activities of living.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wounds and falls.  When necessary, and for unresolved problems, long term care plans are added to an updated.  Residents and families/whānau interviewed provided examples of involvement in evaluation of progress and any resulting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a physiotherapist, dietician, speech language therapist, and mental health services.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were in place. Infection control documentation includes a waste management section detailing procedures for waste (blood and bodily fluids) management and disposal.  A contracted company removes all re-cycling and cardboard waste and normal waste is collected by the council weekly and as needed. There is a designated area for storing chemicals used for cleaning and the laundry which is securely locked. All containers in use are clearly labelled. An external company is contracted to supply and manage chemicals and cleaning products and they also provide relevant training for staff.  Training was provided on the 04 July 2018 on chemical safety in the workplace and twenty six (26) staff attended. Material data sheets were available where chemicals are stored and used and staff interviewed knew what to do should any chemical spill/event occur. Any related incidents are reported in a timely manner. The maintenance person was unavailable for interview at this audit.</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provision and availability of protective clothing and equipment and staff were observed using this including gloves, aprons and hats.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building warrant of fitness is current and was displayed at the entrance to the facility with an expiry date of 15 December 2019. All maintenance information is now directly transferred onto the electronic system. The service is currently transitioning from hard copy records to electronic.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the facilities are fit for purpose. There is a proactive and reactive maintenance programme and buildings, plant and equipment are maintained to an adequate and safe standard. The testing and tagging of equipment and calibration of medical equipment was current and confirmed in documentation reviewed. An equipment validation report was reviewed. All hoists are included in the checks and oxygen concentrators are ready for use. There are oxygen cylinders on site but these can be refilled and ordered if and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grounds are safely maintained and were appropriate to the resident groups and the setting. Pathways were even for younger and older residents using mobility wheelchairs and/or total mobility scooters. There is a designated covered deck area provided for charging up the batteries when mobility aides are not in use. The environment is conducive to the range of activities undertaken. The environment was hazard free and residents were safe. Staff interviewed confirmed they knew the processes they should follow if any repairs or maintenance was required and that any requests are appropriately actioned. The residential care service has an external area with a raised garden and even pathways to walk around the facility. Residents reported they were happy with the environment.</w:t>
            </w:r>
          </w:p>
          <w:p w:rsidR="00EB7645" w:rsidRPr="00BE00C7" w:rsidP="00BE00C7">
            <w:pPr>
              <w:pStyle w:val="OutcomeDescription"/>
              <w:spacing w:before="120" w:after="120"/>
              <w:rPr>
                <w:rFonts w:cs="Arial"/>
                <w:b w:val="0"/>
                <w:lang w:eastAsia="en-NZ"/>
              </w:rPr>
            </w:pPr>
            <w:r w:rsidRPr="00BE00C7">
              <w:rPr>
                <w:rFonts w:cs="Arial"/>
                <w:b w:val="0"/>
                <w:lang w:eastAsia="en-NZ"/>
              </w:rPr>
              <w:t>No changes will be required to the current facilities or equipment to support the reconfiguration of service to accommodate young persons with a disability.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mix of toilet, showers and bathing facilities in the three areas of service delivery. This includes rooms with ensuites, shared bathrooms between rooms and additional bathroom areas. All individual resident’s rooms have a hand basin except for the rooms in the dementia service. Appropriately secured and approved handrails are provided in the toilet/shower areas and other equipment/accessories are available to promote residents’ independence.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reconfiguration to support the provider’s application for residential, disability/physical certification was completed. The provider is suitable to provide this service.  No changes will be required to the current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space provided to allow residents and staff to move around within the bedrooms safely. All bedrooms provide single accommodation. All rooms are personalised with furnishings, photographs and other personal items being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walking frames and wheelchairs. Staff and residents interviewed reported the adequacy of bedrooms. Hoists sighted were stored in a designated area and did not impede walkways or create a hazard for mobile residents. There is one area located near the dementia service just for storage of total mobility scooters.</w:t>
            </w:r>
          </w:p>
          <w:p w:rsidR="00EB7645" w:rsidRPr="00BE00C7" w:rsidP="00BE00C7">
            <w:pPr>
              <w:pStyle w:val="OutcomeDescription"/>
              <w:spacing w:before="120" w:after="120"/>
              <w:rPr>
                <w:rFonts w:cs="Arial"/>
                <w:b w:val="0"/>
                <w:lang w:eastAsia="en-NZ"/>
              </w:rPr>
            </w:pPr>
            <w:r w:rsidRPr="00BE00C7">
              <w:rPr>
                <w:rFonts w:cs="Arial"/>
                <w:b w:val="0"/>
                <w:lang w:eastAsia="en-NZ"/>
              </w:rPr>
              <w:t>A reconfiguration to support the provider’s application for residential, disability/physical certification was completed. The provider is suitable to provide this service. No changes will be required to the current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communal lounge/dining available for residents to engage in activities in the dementia service. The dining and lounge areas in the rest home are spacious and enable easy access for residents and staff for activities, functions and when entertainment is provided. Access to the lounge and dining rooms is provided for younger and older disabled residents to facilitate easy access with wheelchairs, walkers and electric powered mobility aids. The hospital has a smaller functional lounge. Residents are able to access areas for privacy, if required. Furniture is appropriate to the setting and residents’ needs are met. The furniture is arranged in a manner which enables residents to mobilise freely.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needs of young people with a disability can be catered for within the current facility layout.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undertaken on site in one large laundry. Facilities are readily available in the laundry sighted. Resident’s personal laundry items are laundered on site or by family members if requested. Residents and family members interviewed reported the laundry is managed well and their clothes are returned in a timely manner. The laundry is currently washed by dedicated laundry staff during the daytime hours. The laundry person interviewed was very experienced. There is one designated staff member for the laundry and a relief laundry person available. After hours the care staff are responsible for the laundry. The staff member interviewed demonstrated a sound knowledge of the laundry processes, dirty to clean workflow and handling of soiled linen.</w:t>
            </w:r>
          </w:p>
          <w:p w:rsidR="00EB7645" w:rsidRPr="00BE00C7" w:rsidP="00BE00C7">
            <w:pPr>
              <w:pStyle w:val="OutcomeDescription"/>
              <w:spacing w:before="120" w:after="120"/>
              <w:rPr>
                <w:rFonts w:cs="Arial"/>
                <w:b w:val="0"/>
                <w:lang w:eastAsia="en-NZ"/>
              </w:rPr>
            </w:pPr>
            <w:r w:rsidRPr="00BE00C7">
              <w:rPr>
                <w:rFonts w:cs="Arial"/>
                <w:b w:val="0"/>
                <w:lang w:eastAsia="en-NZ"/>
              </w:rPr>
              <w:t>There are two designated cleaners who are fully trained, including training on infection control, products and protocols. The cleaners cover the total facility inclusive of the dementia service. Material data sheets are available for all products in use. A chemical spills kit is available if and when needed. The cleaning trollies are stored appropriately when not in use in the locked sluice room.  Chemicals are refillable, and all containers used were adequately labelled. Cleaning and laundry processes are monitored through the internal audit programme and by the company representatives (service reports were available). Chemical safety training for staff was provided in July 2018 with a good attendance recorded. On all shifts, additional designated cleaning schedules were completed by care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duties direct the facility in their preparation for disasters and describe the procedures to be followed in the event of fire or other emergencies. The current fire evacuation plan was approved by the New Zealand Fire Service, the most recent being the 11 July 2013. A trial evacuation takes place six monthly with a copy sent to the New Zealand Fire Service, the most recent being the 14 November 2018. The local fire service attends the fire drills and provides feedback to the staff. The staff orientation programme includes fire and security training and training is provided as part of the ongoing education calendar sighted. Staff interviewed confirmed their awareness of the emergency procedures and how to evacuate the younger and older residents with physical disabilities and the residents in the secure dementia service if and when required. </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and blankets, mobile phones, torches, lanterns and gas barbecues were sighted and meet the requirements for the Taranaki Council in this region. Storage of water potable water was evidenced and the supplies are changed three monthly. The emergency lighting which is regularly checked lasts approximately three to four hours. A battery pack is available for beds for lowering the high low beds if needed. Back up batteries are available for security of main doors. The service does not have a generator but is prioritised in the region for energy power supply as soon as available. Emergency protocols are linked with the DHB if required and contact details of other aged care providers are accessible in the event of an emergency in this region.</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interviewed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Security arrangements are in place and staff ensure all doors and windows are locked at a predetermined time in the evening and are again checked by the night staff routinely.</w:t>
            </w:r>
          </w:p>
          <w:p w:rsidR="00EB7645" w:rsidRPr="00BE00C7" w:rsidP="00BE00C7">
            <w:pPr>
              <w:pStyle w:val="OutcomeDescription"/>
              <w:spacing w:before="120" w:after="120"/>
              <w:rPr>
                <w:rFonts w:cs="Arial"/>
                <w:b w:val="0"/>
                <w:lang w:eastAsia="en-NZ"/>
              </w:rPr>
            </w:pPr>
            <w:r w:rsidRPr="00BE00C7">
              <w:rPr>
                <w:rFonts w:cs="Arial"/>
                <w:b w:val="0"/>
                <w:lang w:eastAsia="en-NZ"/>
              </w:rPr>
              <w:t>No changes will be required to the current service to accommodate the needs of the younger people.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individual rooms and communal areas have opening external windows with natural light. Electric heating is provided throughout the facility. Additional heat pumps are available in the communal areas. Areas were warm and well ventilated throughout the audit and residents and families confirmed the facility is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minimises the risk of infection to residents, staff and visitors.  The programme is guided by a comprehensive and current infection control manual, with input from the GP, pharmacy and local district health board as required.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designated IPC coordinator, whose role and responsibilities are defined in a job description. Infection control matters, including surveillance results, are reported monthly to the clinical services and facility managers and tabled at the registered nurse, full staff and quality/risk committee meetings.  This committee includes the clinical services manager, facility manager, IPC coordinator,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recently taken over the role of infection control nurse from the clinical services manager who stated they will continue to support the person in this role.  Both the clinical services manager and infection control coordinator have undertaken post graduate training in infection prevention and control and attended relevant study days, as verified in training records sighted.  Additional support and information are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coordinator confirmed the availability of resources to support the programme and any outbreak of an infection.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March 2018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was documented and evaluated to ensure it is relevant, current and understood.  A record of attendance is maintained.  As part of corrective actions that have been implemented, records showed tool box sessions provided for staff when monthly surveillance results showed an increase in respiratory tract infections in February 2018 and an increase in skin and chest infections in October 2018.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Trends are identified from the past year and this is reported by the clinical services manager to the facility manager.  100% of residents and 67% staff consented to the flu vaccine in April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had a total of 30 infections from July 2018 through to and including December 2018 with no residents identified with frequent infections over this time.  One resident’s file reviewed, due to a history of chronic infections, highlighted short term and long-term care planning to reduce and minimise the risk.   Care staff interviewed demonstrated knowledge of residents who have a higher risk of infections and the interventions required.  Data is benchmarked externally within the larger HLL organisation three monthly. Benchmarking has provided assurance that infection rates in the facility are below average for the sector.  The clinical services manager reported no infectious outbreaks in the last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reviewed October 2018 meet the requirements of the restraint minimisation and safe practice standards and provide guidance on the safe use of both restraints and enablers. A flow chart is also available to guide staff. The restraint coordinator provides support and oversight for enabler and restraint management in the facility when required and demonstrated a sound understanding of the organisation’s policies, procedures and practice and the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On the days of audit one resident was using a restraint and one resident was using an enabler which was the least restrictive and used in a voluntary capacity at the request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Restraint is only used as a last resort when all alternatives have been explored. This was clear on review of the restraint approval group minutes and records reviewed and staff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is an organisational group which provides leadership and oversight of restraint across the organisation. Membership consists of the national manager clinical and quality (chair), the clinical and quality improvement lead, two clinical managers and two restraint co-ordinators. The restraint approval group convenes twice a year, approves restraint methods for the organisation, monitors restraint uses within the organisation and approves policy change. The last restraint audit was completed 29 November 2018 and the quality meeting minutes were available for review. The coordinator understands the lines of accountability and that the one restraint has been approved and is monitored and analysed. Evidence of family/EPOA involvement was observed in the record reviewed. Use of a restraint or an enabler is part of the plan of care as was sighted in the electronic records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RN undertakes the initial assessment with the restraint coordinator’s involvement and input from the resident’s family/whānau/EPOA. The facility manager described the documented process. The assessment process identified the underlying cause, history of restraint use, cultural considerations, alternatives and associated risks. The desired outcome was to ensure the resident’s safety and security. A completed assessments was sighted in the one resident’s individual record reviewed who was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and the facility manager described how alternatives to restraints are discussed with staff and family members (eg, the use of sensor mats and low beds and fall out mattresses). When a restraint is in use frequent monitoring occurs to ensure the resident remains safe. Records of monitoring had the necessary details. A family advocate is available if requested and all processes ensure dignity and privacy are maintained and respected.</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and updated every month and reviewed at each restraint approval group meeting. The register was reviewed and contained the details of the one resident using a restraint and the information was sufficient to provide an auditable record.</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newly implemented policy and procedures and in related topics such as positively supporting people with challenging behaviours. Staff spoken to clearly comprehended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records showed that individual use of restraint is reviewed and evaluated during the care plan and interRAI reviews, six monthly restraint evaluations and at the restraint approval group meetings. Family interviewed confirmed their involvement in the evaluation process and their satisfaction with the restraint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reviews occur within the appropriate timeframes as per the newly implemented restraint minimisation and safe practice policy reviewed to meet the requirements of the Standard. Education is provided to all staff at orientation and is ongoing. The last restraint training was provided 6 December 2018. Restraint reports are completed, and individual use of restraint is reported to the national manager clinical and quality. A six monthly internal audit is carried out which also informs the quality meetings. Data reviewed, minutes of meetings and staff interviews confirmed that the use of restraint has been reduced.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(BPA) Limited - Riverside Care Home and Hospital</w:t>
    </w:r>
    <w:bookmarkEnd w:id="58"/>
    <w:r>
      <w:rPr>
        <w:rFonts w:cs="Arial"/>
        <w:sz w:val="16"/>
        <w:szCs w:val="20"/>
      </w:rPr>
      <w:tab/>
      <w:t xml:space="preserve">Date of Audit: </w:t>
    </w:r>
    <w:bookmarkStart w:id="59" w:name="AuditStartDate1"/>
    <w:r>
      <w:rPr>
        <w:rFonts w:cs="Arial"/>
        <w:sz w:val="16"/>
        <w:szCs w:val="20"/>
      </w:rPr>
      <w:t>17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