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Whitby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Whitby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December 2018</w:t>
      </w:r>
      <w:bookmarkEnd w:id="7"/>
      <w:r w:rsidRPr="009418D4">
        <w:rPr>
          <w:rFonts w:cs="Arial"/>
        </w:rPr>
        <w:tab/>
        <w:t xml:space="preserve">End date: </w:t>
      </w:r>
      <w:bookmarkStart w:id="8" w:name="AuditEndDate"/>
      <w:r w:rsidR="00A4268A">
        <w:rPr>
          <w:rFonts w:cs="Arial"/>
        </w:rPr>
        <w:t>4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Whitby Rest Home and Hospital is part of the Bupa group.  The service is certified to provide hospital (medical, geriatric), psychogeriatric, rest home and dementia level care for up to 100 residents.  On the day of the audit, there were 91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service is managed by a care home manager who is a registered nurse (non-practising).  The care home manager has been in the role for one year and has fifteen years’ experience of managing an aged care facility.  She is supported by an experienced acting clinical manager who has been in the role for two months.  </w:t>
      </w:r>
    </w:p>
    <w:p w:rsidRPr="00A4268A">
      <w:pPr>
        <w:spacing w:before="240" w:line="276" w:lineRule="auto"/>
        <w:rPr>
          <w:rFonts w:eastAsia="Calibri"/>
        </w:rPr>
      </w:pPr>
      <w:r w:rsidRPr="00A4268A">
        <w:rPr>
          <w:rFonts w:eastAsia="Calibri"/>
        </w:rPr>
        <w:t>Three of the eight shortfalls identified as part of their previous surveillance audit have been addressed.  These are around complaints documentation, medication charting and security of chemicals.  Improvements continue to be required around: the quality system; timeliness of care plan documentation; implementation of care; food management; and training.</w:t>
      </w:r>
    </w:p>
    <w:p w:rsidRPr="00A4268A">
      <w:pPr>
        <w:spacing w:before="240" w:line="276" w:lineRule="auto"/>
        <w:rPr>
          <w:rFonts w:eastAsia="Calibri"/>
        </w:rPr>
      </w:pPr>
      <w:r w:rsidRPr="00A4268A">
        <w:rPr>
          <w:rFonts w:eastAsia="Calibri"/>
        </w:rPr>
        <w:t>This audit has identified new areas requiring improvement around: cleanliness of the dementia unit; the process for self-medicating residents; evaluations; and use of communal clothing.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family are informed, including of changes in resident’s health.  The care home manager and acting clinical manager have an open-door policy.  Residents and relatives interviewed state the management and staff are very approachable should they have any concerns and are aware of the complaints process.  There is a complaints policy and documented register.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acting clinical manager are responsible for the day-to-day operations of the facility.  Goals are documented for the service.   Quality and risk performance is reported to the organisation's management team.  An annual resident/relative satisfaction survey is completed and there are regular resident/relative meetings.  There are human resources policies including recruitment, selection, orientation and staff training.  An orientation programme is in place for new staff.  The organisational staffing policy aligns with contractual requirements and includes skill mixes.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in consultation with the resident and/or family.  Resident files include three-monthly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guidelines.  The medicines records reviewed include documentation of allergies and sensitivities and are reviewed at least three-monthly by the general practitioner.  </w:t>
      </w:r>
    </w:p>
    <w:p w:rsidRPr="00A4268A" w:rsidP="00621629">
      <w:pPr>
        <w:spacing w:before="240" w:line="276" w:lineRule="auto"/>
        <w:rPr>
          <w:rFonts w:eastAsia="Calibri"/>
        </w:rPr>
      </w:pPr>
      <w:r w:rsidRPr="00A4268A">
        <w:rPr>
          <w:rFonts w:eastAsia="Calibri"/>
        </w:rPr>
        <w:t>There is an activities programme implemented for each unit, (eg, rest home, hospital, dementia and psychogeriatric units), along with shared activities as appropriate.  The programme includes community visitors and outings, entertainment and activities that meet the recreational preferences and abilities of the residents.</w:t>
      </w:r>
    </w:p>
    <w:p w:rsidRPr="00A4268A" w:rsidP="00621629">
      <w:pPr>
        <w:spacing w:before="240" w:line="276" w:lineRule="auto"/>
        <w:rPr>
          <w:rFonts w:eastAsia="Calibri"/>
        </w:rPr>
      </w:pPr>
      <w:r w:rsidRPr="00A4268A">
        <w:rPr>
          <w:rFonts w:eastAsia="Calibri"/>
        </w:rPr>
        <w:t>All food and baking is done on-site.  All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Resident rooms are single, spacious and personalised.  Communal areas within each area are easily accessed with appropriate seating and furniture to accommodate the needs of the residents.  External areas are safe and well maintained, with the two secure areas having accessible and safe secure outdoor areas.   Electrical equipment has been tested and tagged.  All medical equipment and all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Bupa restraint policy that includes comprehensive restraint procedures including restraint minimisation.  There is a documented definition of restraint and enablers that aligns with the definition in the standards.  There were eighteen restraints and two enablers being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Policies and procedures document infection prevention and control surveillance methods.  The surveillance data is collected monthly in an electronic system.  Infection control internal audits have been completed.  There is an infection control officer that was appointed one week ago.</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3"/>
        <w:gridCol w:w="1280"/>
        <w:gridCol w:w="103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There are complaint forms available at the entrance of the facility.  A record of all complaints, both verbal and written is maintained by the care manager using a complaint register.  Documentation including follow-up letters and resolution demonstrates that complaints are being managed in accordance with guidelines set forth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residents and relatives confirmed they were provided with information on complaints and complaints forms.  Complaints forms and a suggestions box are in a visible location at the entrance to the facility.  The DHB requested follow up against aspects of two complaints received that related to aspects of care in the dementia unit.  This audit identified the service is continuing to address these issues.  Corrective actions have been established.  Since the previous audit in March 2018, eight complaints have been received.  All were reviewed with evidence of appropriate follow-up actions taken.  There is written information on the service philosophy and practices particular to the different units.  All complaints reviewed had documented evidence of the complaint outcome being communicated to the complainant or that the complainant was happy with the outcome.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around personal privacy, dignity and respect.  However, the service provides communal net pants for residents.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policies alert staff to their responsibility to notify family/next of kin of any accident/incident that occurs.  Evidence of communication with family/whānau is recorded on the family/whānau communication record, which is held in each resident’s file.  Three relatives (two dementia care and one psychogeriatric care) interviewed, confirmed that they are kept informed when their family member’s health status changes.  Five residents (three rest home and two hospital) interviewed, stated that they were welcomed on entry and were given time and explanation about the services and procedures.  Accident/incident forms on Riskman have a section to indicate if next of kin have been informed (or not) of an accident/incident.  Fourteen accident/incident forms reviewed from November and December 2018, identified family were kept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Whitby Rest Home and Hospital is a Bupa facility that provides hospital (geriatric and medical), rest home, dementia and psychogeriatric level care for up to 100 residents.  Occupancy on the day of audit was 91 residents.  In the rest home unit, there are nine beds with nine rest home residents.  In the hospital unit (dual-purpose), there are 41 beds with 40 hospital residents.  In the dementia unit, there are 33 beds with 26 dementia care residents (including one younger person on a residential disability contract).  All residents were on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psychogeriatric unit, there are 17 beds with 16 psychogeriatric residents.  All residents were on the ARHSS contract.</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Annual quality/health and safety goals for the facility have been determined (link to 1.2.3.6).</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is a RN (non-practising).  The care home manager has been in the role for one year and has fifteen years’ experience of managing an aged care facility.  She is supported by an experienced acting clinical manager who has been in the role for two months.  The acting clinical manager is a Bupa relief manager and relief care manager.  She is also supporting the care home manager in her role.</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supported by one-unit coordinator, two registered nurse (RN) team leaders and a regional operations manager.  All are experienced in dementia care and are supported by the Bupa dementia consultant.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home managers and clinical managers attend annual forums and regional forums six-monthly.  Both the care home manager and the acting clinical manager have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documented quality system and processes.  The care home manager and acting clinical manager are responsible for the day-to-day operations of the facility and implementation of the quality system.  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health and safety goals have been established for 2018.  However, progress to meeting the goals has not been regularly reviewed and reported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 Bupa meeting template agenda that ensures all quality data is reviewed, communicated and discussed, however quality, health and safety, staff and clinical meetings have not occurred as scheduled.  This is a continued shortfall from the previous audit.  Meetings that have been documented as taking place do not reflect discussion of quality and risk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collected and entered into the online Riskman system.  However, this data has not been trended or analysed by the service to identify opportunities for improvement.  An internal audits schedule is documented, however, not all audits have occurred as scheduled.  Corrective actions identified from internal audit shortfalls have been documented, however, a number of these actions remain outstanding.  This is a continued shortfall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 identification forms and a hazard register are in place; however, the hazard register has not been reviewed as per policy.  There are procedures to guide staff in managing clinical and non-clinical emergencies.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was an annual resident/relative satisfaction survey completed in June 2018 with results showing a decrease in satisfaction in all areas with a number of specific areas identified for improvement.  The implementation of corrective action plans for areas requiring improvement was not evident.  Staff meeting minutes did not reflect discussion of survey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collection of falls data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accidents and incidents reporting policy is being implemented with all incidents documented on Riskman.  Incidents and accidents are not trended or analysed, and corrective actions are not fully completed for adverse events (link 1.2.3.6).  Staff state they are informed regarding individual resident and staff adverse events during handovers and in staff meetings (link 1.2.3.6).  A registered nurse conducts clinical follow up of residents.  Fourteen incidents forms were reviewed for November and December.  Unwitnessed falls with a suspected injury to the head include neurological observations, however, not all observations were completed as per policy (link 1.3.6.1).  Discussions with the facility manager confirmed their awareness of the requirement to notify relevant authorities in relation to essential notifications.  There have been no outbreaks since the previous audit.  A Section 31 report was completed appropriately for five adverse events and one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that include the recruitment and staff selection process.  Relevant checks are completed to validate the individual’s qualifications, experience and veracity.  Copies of current practising certificates are retained.  Eight staff files (three registered nurses, two healthcare assistants, one activity coordinator, one cook and one maintenance) were reviewed and evidenced that reference checks were completed.  The service has an orientation programme in place that provides new staff with relevant information for safe work practice.  The caregivers when newly employed, complete an orientation booklet that has been aligned with foundation skills unit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is being implemented.  Attendance at mandatory in-service training is frequently less than 20%.  There are sixteen RNs and five have completed interRAI training.  There are a number of competencies for RNs and care staff including (but not limited to): medication; blood sugar levels; manual handling; and restraint.  However, not all competencies have been completed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complete an aged care education programme and the service has access to a Careerforce assessor.  The nursing staff attend external training provided by Bupa and the DHB.  There are 26 caregivers that work in the dementia and psychogeriatric care units; six have completed the required dementia standards and seven have enrolled with Careerforce.  Thirteen caregivers are yet to complete their dementia standards; ten of these staff have been employed in the units for over eighteen months.  This is a continued shortfall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appraised annually on their performance.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There is a care home manager, acting clinical manager and hospital unit coordinator who each work full-time from Monday to Friday.  The care home manager and clinical manager are supported by two unit-coordinators and registered nurses.  Registered nurse cover is provided twenty-four hours a day, seven days a week.  Interviews with staff, residents and family members identify that staffing is adequate to meet the needs of residents.  Separate laundry and cleaning staff are employed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 to four units: hospital unit (Kowhai) 41 beds; rest home unit (Totara) nine beds; dementia care unit (Rata) 33 beds; and psychogeriatric unit (Kauri) 17 beds.  On call is covered by the two-unit coordinators and acting clinical manager on a rotational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Kowhai unit with 40 residents, in addition to the unit coordinator, there are two RN’s and an enrolled nurse on morning shift, two RN’s and an enrolled nurse on all afternoon shifts and one RN on at night.  There are eight caregivers on duty in the morning (six long and two short), seven caregivers on afternoon shifts (five long and two short)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Totara unit with nine rest home residents, there is one caregiver on duty in the morning, afternoon and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care unit Rata with 26 dementia residents including one YPD, there is one RN on each morning, afternoon and night shift.  There are four full shift caregivers on duty in the morning and afternoon shifts,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psychogeriatric unit Kauri with 16 residents, there is an UC/RN on each morning shift and an RN on afternoon and night shifts.  There are three caregivers (two long and one short) on morning shift, three caregivers (two long and one short) on afternoon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addition to care staff, an activities coordinator is rostered on each unit Monday to Friday and weekend days across the PG and dementia unit.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were reviewed on the electronic system from across the service.  There are policies and procedures in place for safe medicine management that meet legislative requirements.  The service uses an electronic medication system.  The prescribing of medication meets legislative prescribing requirements.  The medication charts reviewed identify that the GP has seen and reviewed the residents three-monthly.  The previous findings around: controlled drug documentation; documentation of allergies; photos on medication charts; and medication round processes have been addressed.  This audit has identified new shortfalls around medication management including: GP review of self-medicating assessments; fridge temperatures; dating of eye drops; and securing the dementia unit medication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around safe medication administration has been provided (link 1.2.7.5).  Staff were observed to be safely administering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interviewed could describe their role regarding medicine administration.  Standing orders are not in use.  There was one resident self-medicating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use of anti-psychotic medication and if required makes a referral to the psychogeriatrician.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continue to be cooked on-site in the main kitchen.  Meals are delivered in bain maries and a hot box to each unit where they are served.  The kitchen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End cooked food temperatures are recorded prior to placement in the bain marie or hot box.  Fridges and freezer temperatures are monitored and recorded daily.  Foods in the main kitchen and dementia unit kitchen were not all dated, this is a continued shortfall from the two previous audits.  Dry goods are stored in dated sealed containers.  Chemicals are stored safely.  Cleaning schedules are maintained.  On audit, all work surfaces were stainless steel and clean, but not the floor.</w:t>
            </w:r>
          </w:p>
          <w:p w:rsidR="00EB7645" w:rsidRPr="00BE00C7" w:rsidP="00BE00C7">
            <w:pPr>
              <w:pStyle w:val="OutcomeDescription"/>
              <w:spacing w:before="120" w:after="120"/>
              <w:rPr>
                <w:rFonts w:cs="Arial"/>
                <w:b w:val="0"/>
                <w:lang w:eastAsia="en-NZ"/>
              </w:rPr>
            </w:pPr>
            <w:r w:rsidRPr="00BE00C7">
              <w:rPr>
                <w:rFonts w:cs="Arial"/>
                <w:b w:val="0"/>
                <w:lang w:eastAsia="en-NZ"/>
              </w:rPr>
              <w:t>There are snacks available across 24/7 in the dementia and PG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staff have completed on-site food safety education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(RNs) and caregivers, follow the care plan and report progress against the care plan each shift at handover.  If external nursing or allied health advice is required, the RNs will initiate a referral (eg, to the district nurse [hospice nurse], or the mental health nurses).  If external medical advice is required, this will be actioned by the GP or nurse practitioner.  Not all nursing interventions were fully documented or implemented according to the care plan and or specialist direction.  This is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a registered nurse initiates a review and if required, GP and/or nurse specialist consultation.  There is documented evidence on the family/whānau contact form in each resident file that indicates family were notified of any changes to their relative’s health.  The GP stated that the service provides appropriate clinical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residents with wounds.  Wound care plan forms across all units were sampled and all wound care documentation has been fully completed.  All wounds have been reviewed in appropriate timeframes.  There were no residents with pressure injuries.  The clinical manager described how to access specialist wound care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employ five activity coordinators who continue to provide activities for all residents across the facility.  The activity coordinators have all completed the dementia standards.  The caregivers and volunteers provide the set activities over the weekend.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Activities are provided five days a week and activities are planned for weekends and after hours for the care staff to implement.  There is a programme running in each of the four units (psychogeriatric, hospital, rest home and dementia) to meet the identified needs of the residents.  This programme is printed for all residents and posted up on noticeboards.   Many activities are integrated with residents moving from unit to unit for some activities.  The younger person in the dementia unit has activities appropriate to their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staff informed that the activity plans are flexible and are often adapted to the needs and wants of the residents on the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set activities on the programme calendar with the flexibility to add site-specific activities, entertainers and outings.  Activities meet the abilities of all resident groups.  One-on-one time is spent with residents who are unable to or choose not to join in the group activities.  There is a wide range of activities provided including: visiting pets, kindergarten groups, school and cultural groups that reflect the culture of many of the residents.  Residents go on regular outings and drives in the Bupa Whitby wheelchair hoist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links with the community and some attend church services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on admission, which includes previous hobbies, community links, family, and interests.  The individual activity plan is incorporated into the ‘My Day, My Way’ care plan and is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and satisfaction surveys.  Following the last survey, the service recommenced van outings and they now have a designated driver.   Residents and relatives interviewed were overall happy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for residents who had been in the service for over six months, demonstrate that the long-term care plans have been evaluated at least six-monthly or earlier if there was a change in health status.  There is at least a three-monthly review by the GP.  All changes in health status are documented and followed up.</w:t>
            </w:r>
          </w:p>
          <w:p w:rsidR="00EB7645" w:rsidRPr="00BE00C7" w:rsidP="00BE00C7">
            <w:pPr>
              <w:pStyle w:val="OutcomeDescription"/>
              <w:spacing w:before="120" w:after="120"/>
              <w:rPr>
                <w:rFonts w:cs="Arial"/>
                <w:b w:val="0"/>
                <w:lang w:eastAsia="en-NZ"/>
              </w:rPr>
            </w:pPr>
            <w:r w:rsidRPr="00BE00C7">
              <w:rPr>
                <w:rFonts w:cs="Arial"/>
                <w:b w:val="0"/>
                <w:lang w:eastAsia="en-NZ"/>
              </w:rPr>
              <w:t>Reassessments have been completed using the interRAI assessment for all residents who have had a significant change in health condition.  The three-monthly reviews of restraint had not been documented as per Bupa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chemical/substance safety policy and waste management policy.  Chemicals are stored safely in locked cupboards.  Safety datasheets and product wall charts are available.  Approved sharps containers are available and meet the hazardous substances regulations for containers.  Management of waste and hazardous substances is covered during orientation of new staff.  Chemicals were correctly labelled, and oxygen was stored securely and safely.  Cleaner’s trolleys were observed to be always locked and sluice doors secured.  This is an improvement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Proactive and reactive maintenance (maintenance requests logbooks) are in place and maintained.  A maintenance person is employed and on interview indicated a good understanding of providing a safe and appropriate environment for residents.  Medical equipment including hoists and weighing scales, have been calibrated.  Electrical testing and tagging has been completed annually.  The hot water temperatures are monitored fortnightly at delivery point and are maintained between 43-45 degrees Celsius.  The maintenance person is on call and there are contractors for essential services available 24/7.   </w:t>
            </w:r>
          </w:p>
          <w:p w:rsidR="00EB7645" w:rsidRPr="00BE00C7" w:rsidP="00BE00C7">
            <w:pPr>
              <w:pStyle w:val="OutcomeDescription"/>
              <w:spacing w:before="120" w:after="120"/>
              <w:rPr>
                <w:rFonts w:cs="Arial"/>
                <w:b w:val="0"/>
                <w:lang w:eastAsia="en-NZ"/>
              </w:rPr>
            </w:pPr>
            <w:r w:rsidRPr="00BE00C7">
              <w:rPr>
                <w:rFonts w:cs="Arial"/>
                <w:b w:val="0"/>
                <w:lang w:eastAsia="en-NZ"/>
              </w:rPr>
              <w:t>Each of the units has good visibility of residents as appropriate.  Mirrors and CTV cameras are present in the psychogeriatric unit.</w:t>
            </w:r>
          </w:p>
          <w:p w:rsidR="00EB7645" w:rsidRPr="00BE00C7" w:rsidP="00BE00C7">
            <w:pPr>
              <w:pStyle w:val="OutcomeDescription"/>
              <w:spacing w:before="120" w:after="120"/>
              <w:rPr>
                <w:rFonts w:cs="Arial"/>
                <w:b w:val="0"/>
                <w:lang w:eastAsia="en-NZ"/>
              </w:rPr>
            </w:pPr>
            <w:r w:rsidRPr="00BE00C7">
              <w:rPr>
                <w:rFonts w:cs="Arial"/>
                <w:b w:val="0"/>
                <w:lang w:eastAsia="en-NZ"/>
              </w:rPr>
              <w:t>The wide corridors and rails promote safe mobility with the use of mobility aids and transferring equipment.  Residents were observed moving freely around the areas with mobility aids where required.  The external areas and gardens are well maintained with secure outside areas for the psychogeriatric unit and the dementia unit.  There is outdoor furniture, seating and shaded areas.  There is safe wheelchair access to all communal areas.   The dementia unit has a strong odour in the corridors.</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referred to in care plans necessary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monthly in an electronic system Riskman.  Infection control internal audits have been completed.  There is an infection control officer appointed one week ago.  Data is not analysed, trends are not identified, and infection control is not discussed at staff meetings (link 1.2.3.6).  There is a policy describing surveillance methodology for monitoring of infections.  Definitions of infections are in place appropriate to the complexity of service provided.  Systems in place are appropriate to the size and complexity of the facility but are not fully implemented.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Enablers are assessed as required for maintaining safety and independence and are used voluntarily by the residents.  Use of an enabler is voluntary; there were 13 hospital level residents and four residents in the psychogeriatric unit with bedrails as restraint.  In the hospital there were three residents using lap belts (two using bedrails as well) and one resident using a lap belt only as restraint (link to 1.3.6.1 and 1.3.8.2).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40"/>
        <w:gridCol w:w="1280"/>
        <w:gridCol w:w="3893"/>
        <w:gridCol w:w="2644"/>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named clothing is laundered and returned to residents’ rooms for use.  Residents using continence products are supplied with net pants, however, these are not named for individual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net pants were being used for hospital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net pants are named and for individual use only.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robust documented quality system and processes.  An annual internal audit and meeting schedule was sighted for the service.  However, the schedules have not been fully implemented.  Bupa Whitby collates quality data, however, there is no evidence of trends analysis and identification of areas required for improvement (eg, high falls, skin tears and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Not all facility meetings have been completed according to the meeting schedule.  There were two caregiver meetings, one health and safety and two quality meetings documented for 2018.  Clinical/RN meetings do not occur weekly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Where staff meetings have occurred, the minutes do not reflect discussion of quality data including infection control trends, incident data including falls, skin tears, medications incidents or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(iii) Adverse event data is collected and entered into the online Riskman system.  However, this data has not been trended or analysed by the service to identify opportunities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(iv) The internal audit schedule has not always been adhered to.  Audits were not completed as scheduled for March through to June 2018.  Seven out of nineteen corrective action plans required for audits not compliant, were not documented as completed or signed off, four of these were for November 2018.</w:t>
            </w:r>
          </w:p>
          <w:p w:rsidR="00EB7645" w:rsidRPr="00BE00C7" w:rsidP="00BE00C7">
            <w:pPr>
              <w:pStyle w:val="OutcomeDescription"/>
              <w:spacing w:before="120" w:after="120"/>
              <w:rPr>
                <w:rFonts w:cs="Arial"/>
                <w:b w:val="0"/>
                <w:lang w:eastAsia="en-NZ"/>
              </w:rPr>
            </w:pPr>
            <w:r w:rsidRPr="00BE00C7">
              <w:rPr>
                <w:rFonts w:cs="Arial"/>
                <w:b w:val="0"/>
                <w:lang w:eastAsia="en-NZ"/>
              </w:rPr>
              <w:t>(v) Surveys of residents and families have been completed and results correlated at an organisational level along with identification of areas for improvement; however there is no evidence of further action or discussion with staff.</w:t>
            </w:r>
          </w:p>
          <w:p w:rsidR="00EB7645" w:rsidRPr="00BE00C7" w:rsidP="00BE00C7">
            <w:pPr>
              <w:pStyle w:val="OutcomeDescription"/>
              <w:spacing w:before="120" w:after="120"/>
              <w:rPr>
                <w:rFonts w:cs="Arial"/>
                <w:b w:val="0"/>
                <w:lang w:eastAsia="en-NZ"/>
              </w:rPr>
            </w:pPr>
            <w:r w:rsidRPr="00BE00C7">
              <w:rPr>
                <w:rFonts w:cs="Arial"/>
                <w:b w:val="0"/>
                <w:lang w:eastAsia="en-NZ"/>
              </w:rPr>
              <w:t>(vi)  Annual quality/health and safety goals for the facility have been identified; however, these have not been reviewed quarterly as per policy or discussed at facility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facility meetings take place according to the meeting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staff meetings include discussion of quality data.  </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incidents and accidents are analysed, and action plans documented as needed,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that the internal audit schedule is adhered to and that all required corrective action plans are completed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(i) Ensure survey results are discussed at staff meetings and areas identified for improvement are actioned.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Ensure that annual quality/health and safety goals for the facility are reviewed quarterly as per policy and discussed at facility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established health and safety policies.  An elected health and safety committee includes representatives from all areas.  The committee has met once in April 2018, however, minutes did not evidence discussion or review of hazards or incidents.  Bupa Whitby has a site-specific hazard register by area, however, the register has not been reviewed this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hazard register sighted at audit has not been reviewed since January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hazard register is reviewed by the health and safety committee at timeframes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however attendance is very low.  Annual competencies for medication, manual handling, restraint and blood glucose levels are implemented; however, not all staff competencies have been kept up to date as required.  There are 26 caregivers that work in the dementia and psychogeriatric care units.  There are 10 caregivers who have not completed their dementia standards that have been employed for over 18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are 26 caregivers that work in the dementia and psychogeriatric care units, six have completed the required dementia standards and seven are in progress of completing.  Thirteen caregivers are yet to complete their dementia standards, ten of these staff have been employed in the units for over eighteen months  </w:t>
            </w:r>
          </w:p>
          <w:p w:rsidR="00EB7645" w:rsidRPr="00BE00C7" w:rsidP="00BE00C7">
            <w:pPr>
              <w:pStyle w:val="OutcomeDescription"/>
              <w:spacing w:before="120" w:after="120"/>
              <w:rPr>
                <w:rFonts w:cs="Arial"/>
                <w:b w:val="0"/>
                <w:lang w:eastAsia="en-NZ"/>
              </w:rPr>
            </w:pPr>
            <w:r w:rsidRPr="00BE00C7">
              <w:rPr>
                <w:rFonts w:cs="Arial"/>
                <w:b w:val="0"/>
                <w:lang w:eastAsia="en-NZ"/>
              </w:rPr>
              <w:t>(ii) Attendance at compulsory training sessions is less than 20%</w:t>
            </w:r>
          </w:p>
          <w:p w:rsidR="00EB7645" w:rsidRPr="00BE00C7" w:rsidP="00BE00C7">
            <w:pPr>
              <w:pStyle w:val="OutcomeDescription"/>
              <w:spacing w:before="120" w:after="120"/>
              <w:rPr>
                <w:rFonts w:cs="Arial"/>
                <w:b w:val="0"/>
                <w:lang w:eastAsia="en-NZ"/>
              </w:rPr>
            </w:pPr>
            <w:r w:rsidRPr="00BE00C7">
              <w:rPr>
                <w:rFonts w:cs="Arial"/>
                <w:b w:val="0"/>
                <w:lang w:eastAsia="en-NZ"/>
              </w:rPr>
              <w:t>(iii) Expired competencies are evident for (but not limited to): medication (four staff), controlled drug management (six staff), blood glucose levels (seven staff), manual handling (11 staff) and restraint (most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caregivers that work in the dementia and psychogeriatric care units have completed the required dementia standards</w:t>
            </w:r>
          </w:p>
          <w:p w:rsidR="00EB7645" w:rsidRPr="00BE00C7" w:rsidP="00BE00C7">
            <w:pPr>
              <w:pStyle w:val="OutcomeDescription"/>
              <w:spacing w:before="120" w:after="120"/>
              <w:rPr>
                <w:rFonts w:cs="Arial"/>
                <w:b w:val="0"/>
                <w:lang w:eastAsia="en-NZ"/>
              </w:rPr>
            </w:pPr>
            <w:r w:rsidRPr="00BE00C7">
              <w:rPr>
                <w:rFonts w:cs="Arial"/>
                <w:b w:val="0"/>
                <w:lang w:eastAsia="en-NZ"/>
              </w:rPr>
              <w:t>(ii) Ensure all staff attend mandatory in-service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annual competencies are completed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use an electronic medication system.  The services have policies and procedures in place for the safe storage, prescribing and administration of medications.  The GP was aware of the medication process and the process for the electronic medication system.  Eye drops had not been dated on opening and fridge temperatures were not consistently recorded in the hospital unit.  The dementia unit medication room was not adequately secured.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medication room in the dementia unit is situated off the secure kitchen.  All staff have access to the secure kitchen and the medication room is not able to be locked.</w:t>
            </w:r>
          </w:p>
          <w:p w:rsidR="00EB7645" w:rsidRPr="00BE00C7" w:rsidP="00BE00C7">
            <w:pPr>
              <w:pStyle w:val="OutcomeDescription"/>
              <w:spacing w:before="120" w:after="120"/>
              <w:rPr>
                <w:rFonts w:cs="Arial"/>
                <w:b w:val="0"/>
                <w:lang w:eastAsia="en-NZ"/>
              </w:rPr>
            </w:pPr>
            <w:r w:rsidRPr="00BE00C7">
              <w:rPr>
                <w:rFonts w:cs="Arial"/>
                <w:b w:val="0"/>
                <w:lang w:eastAsia="en-NZ"/>
              </w:rPr>
              <w:t>(ii) The fridge temperatures in the hospital wing had not been monitored daily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(iii) The hospital wing medication trolley contained eye drops which had not been dated on opening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the medication room in the dementia unit can be locked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fridge temperatures are recorded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eye drops are dated on opening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assists residents to self-administer medication where appropriate.  Residents can secure medications in their room and there are robust policies and procedures in place to ensure safe self-medication.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self-medicating resident in the hospital wing had not had their self-medication assessment reviewed since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self-medicating residents have a three-monthly review of the self-medication assessment by the GP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approved and verified food control plan (expiring September 2019).  There are robust policies and procedures in place with supporting internal audits to ensure that food management and compliance is supported to a high level.  Not all food was labelled and dated, and the main kitchen floor was not clean.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dementia unit had unlabelled and dated food in the fridge and the cupboards</w:t>
            </w:r>
          </w:p>
          <w:p w:rsidR="00EB7645" w:rsidRPr="00BE00C7" w:rsidP="00BE00C7">
            <w:pPr>
              <w:pStyle w:val="OutcomeDescription"/>
              <w:spacing w:before="120" w:after="120"/>
              <w:rPr>
                <w:rFonts w:cs="Arial"/>
                <w:b w:val="0"/>
                <w:lang w:eastAsia="en-NZ"/>
              </w:rPr>
            </w:pPr>
            <w:r w:rsidRPr="00BE00C7">
              <w:rPr>
                <w:rFonts w:cs="Arial"/>
                <w:b w:val="0"/>
                <w:lang w:eastAsia="en-NZ"/>
              </w:rPr>
              <w:t>(ii) Food in fridges was not all dated and labelled in the main kitchen fridges</w:t>
            </w:r>
          </w:p>
          <w:p w:rsidR="00EB7645" w:rsidRPr="00BE00C7" w:rsidP="00BE00C7">
            <w:pPr>
              <w:pStyle w:val="OutcomeDescription"/>
              <w:spacing w:before="120" w:after="120"/>
              <w:rPr>
                <w:rFonts w:cs="Arial"/>
                <w:b w:val="0"/>
                <w:lang w:eastAsia="en-NZ"/>
              </w:rPr>
            </w:pPr>
            <w:r w:rsidRPr="00BE00C7">
              <w:rPr>
                <w:rFonts w:cs="Arial"/>
                <w:b w:val="0"/>
                <w:lang w:eastAsia="en-NZ"/>
              </w:rPr>
              <w:t>(iii) Cooked meats in the main kitchen fridge was not dated on opening</w:t>
            </w:r>
          </w:p>
          <w:p w:rsidR="00EB7645" w:rsidRPr="00BE00C7" w:rsidP="00BE00C7">
            <w:pPr>
              <w:pStyle w:val="OutcomeDescription"/>
              <w:spacing w:before="120" w:after="120"/>
              <w:rPr>
                <w:rFonts w:cs="Arial"/>
                <w:b w:val="0"/>
                <w:lang w:eastAsia="en-NZ"/>
              </w:rPr>
            </w:pPr>
            <w:r w:rsidRPr="00BE00C7">
              <w:rPr>
                <w:rFonts w:cs="Arial"/>
                <w:b w:val="0"/>
                <w:lang w:eastAsia="en-NZ"/>
              </w:rPr>
              <w:t>(iv) The main kitchen floor was not clean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all food is appropriately dated and labelled</w:t>
            </w:r>
          </w:p>
          <w:p w:rsidR="00EB7645" w:rsidRPr="00BE00C7" w:rsidP="00BE00C7">
            <w:pPr>
              <w:pStyle w:val="OutcomeDescription"/>
              <w:spacing w:before="120" w:after="120"/>
              <w:rPr>
                <w:rFonts w:cs="Arial"/>
                <w:b w:val="0"/>
                <w:lang w:eastAsia="en-NZ"/>
              </w:rPr>
            </w:pPr>
            <w:r w:rsidRPr="00BE00C7">
              <w:rPr>
                <w:rFonts w:cs="Arial"/>
                <w:b w:val="0"/>
                <w:lang w:eastAsia="en-NZ"/>
              </w:rPr>
              <w:t>(iv) Ensure the kitchen is maintained at a high level of cleanliness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put a process in place to ensure that ongoing interRAI assessments and evaluation of care plans are documented within set timeframes.  However, recently admitted residents did not have the interRAI and long-term care plans completed within set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admitted since the previous audit (one in dementia level care and one at rest home level care) did not have the initial interRAI and long-term care plans documented within set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stage of service provision is documented within set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in place in the files sampled, however, they were not all fully completed and/or addressed all resident needs.  Interviews with registered nurses and caregivers demonstrate an understanding of the individualised needs of residents, but not all interventions were implemented according to clinical direction.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(i)Care plans did not document all care plan interventions.  (a) In the psychogeriatric unit, one resident did not have interventions to manage aggressive episodes and one resident did not have intervention for restraint in the long-term care plan.  (b) In the dementia unit, one resident did not have interventions for managing smoking.</w:t>
            </w:r>
          </w:p>
          <w:p w:rsidR="00EB7645" w:rsidRPr="00BE00C7" w:rsidP="00BE00C7">
            <w:pPr>
              <w:pStyle w:val="OutcomeDescription"/>
              <w:spacing w:before="120" w:after="120"/>
              <w:rPr>
                <w:rFonts w:cs="Arial"/>
                <w:b w:val="0"/>
                <w:lang w:eastAsia="en-NZ"/>
              </w:rPr>
            </w:pPr>
            <w:r w:rsidRPr="00BE00C7">
              <w:rPr>
                <w:rFonts w:cs="Arial"/>
                <w:b w:val="0"/>
                <w:lang w:eastAsia="en-NZ"/>
              </w:rPr>
              <w:t>(ii) One initial assessment for a resident in the psychogeriatric unit was not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in the psychogeriatric unit was observed smoking with no supervision.</w:t>
            </w:r>
          </w:p>
          <w:p w:rsidR="00EB7645" w:rsidRPr="00BE00C7" w:rsidP="00BE00C7">
            <w:pPr>
              <w:pStyle w:val="OutcomeDescription"/>
              <w:spacing w:before="120" w:after="120"/>
              <w:rPr>
                <w:rFonts w:cs="Arial"/>
                <w:b w:val="0"/>
                <w:lang w:eastAsia="en-NZ"/>
              </w:rPr>
            </w:pPr>
            <w:r w:rsidRPr="00BE00C7">
              <w:rPr>
                <w:rFonts w:cs="Arial"/>
                <w:b w:val="0"/>
                <w:lang w:eastAsia="en-NZ"/>
              </w:rPr>
              <w:t>(iv)  Two residents did not have monitoring according to timeframes (one resident in the hospital and one in the psychogeriatric unit).  One resident in the dementia unit had monitoring charts for weight and foods and fluids; these charts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Neuro observations were not completed according to Bupa timeframes for five of five residents post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care plans document all care interventions.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assessments are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residents are supervised in the psychogeriatric unit.</w:t>
            </w:r>
          </w:p>
          <w:p w:rsidR="00EB7645" w:rsidRPr="00BE00C7" w:rsidP="00BE00C7">
            <w:pPr>
              <w:pStyle w:val="OutcomeDescription"/>
              <w:spacing w:before="120" w:after="120"/>
              <w:rPr>
                <w:rFonts w:cs="Arial"/>
                <w:b w:val="0"/>
                <w:lang w:eastAsia="en-NZ"/>
              </w:rPr>
            </w:pPr>
            <w:r w:rsidRPr="00BE00C7">
              <w:rPr>
                <w:rFonts w:cs="Arial"/>
                <w:b w:val="0"/>
                <w:lang w:eastAsia="en-NZ"/>
              </w:rPr>
              <w:t>(iv) Ensure that monitoring is undertaken according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(v) Ensure that neurological observations are documented according to Bupa policies.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document a six-monthly evaluation of care and an interdisciplinary review.  Resident with restraint do not all have a three-monthly evaluation of the restraint documented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with restraint (one hospital and one resident in the psychogeriatric unit) did not have three-monthly reviews of their restraint documented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 restraints are evaluated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wide corridors and rails promote safe mobility with the use of mobility aids and transferring equipment.  The external areas and gardens are well maintained with secure outside areas for the Psychogeriatric unit and the dementia unit.  There is outdoor furniture, seating and shaded areas.  There is safe wheelchair access to all communal areas.  The dementia unit has a strong odour in the corridors.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had a strong malodour.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dementia unit is odour free.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Whitby Rest Home &amp; Hospital</w:t>
    </w:r>
    <w:bookmarkEnd w:id="58"/>
    <w:r>
      <w:rPr>
        <w:rFonts w:cs="Arial"/>
        <w:sz w:val="16"/>
        <w:szCs w:val="20"/>
      </w:rPr>
      <w:tab/>
      <w:t xml:space="preserve">Date of Audit: </w:t>
    </w:r>
    <w:bookmarkStart w:id="59" w:name="AuditStartDate1"/>
    <w:r>
      <w:rPr>
        <w:rFonts w:cs="Arial"/>
        <w:sz w:val="16"/>
        <w:szCs w:val="20"/>
      </w:rPr>
      <w:t>3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