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(BPA) Limited - Flaxmore Care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(BPA)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Flaxmore Care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17 January 2019</w:t>
      </w:r>
      <w:bookmarkEnd w:id="7"/>
      <w:r w:rsidRPr="009418D4">
        <w:rPr>
          <w:rFonts w:cs="Arial"/>
        </w:rPr>
        <w:tab/>
        <w:t xml:space="preserve">End date: </w:t>
      </w:r>
      <w:bookmarkStart w:id="8" w:name="AuditEndDate"/>
      <w:r w:rsidR="00A4268A">
        <w:rPr>
          <w:rFonts w:cs="Arial"/>
        </w:rPr>
        <w:t>18 January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Flaxmore Lifecare provides rest home level dementia care for up to 50 residents. The service is operated by Heritage Lifecare (BPA) Limited and managed by a facility manager and a clinical services manager. Family members spoke positively about the care provided and are satisfied with the service. </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managers, staff, external health professionals and a general practitioner.  </w:t>
      </w:r>
    </w:p>
    <w:p w:rsidRPr="00A4268A">
      <w:pPr>
        <w:spacing w:before="240" w:line="276" w:lineRule="auto"/>
        <w:rPr>
          <w:rFonts w:eastAsia="Calibri"/>
        </w:rPr>
      </w:pPr>
      <w:r w:rsidRPr="00A4268A">
        <w:rPr>
          <w:rFonts w:eastAsia="Calibri"/>
        </w:rPr>
        <w:t xml:space="preserve">This audit has resulted in three continuous improvement ratings, one of which relates to the admission process; one regarding clinically focused quality improvements and the other is related to changes to the external environment that are enhancing the lives of the residents. The need for carpets in several areas to be replaced and for some staff performance appraisals to be completed, are areas requiring improvement that were identified.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and their family members. Opportunities to discuss the Code, consent and availability of advocacy services is provided at the time of admission and thereafter as required.  </w:t>
      </w:r>
    </w:p>
    <w:p w:rsidRPr="00A4268A">
      <w:pPr>
        <w:spacing w:before="240" w:line="276" w:lineRule="auto"/>
        <w:rPr>
          <w:rFonts w:eastAsia="Calibri"/>
        </w:rPr>
      </w:pPr>
      <w:r w:rsidRPr="00A4268A">
        <w:rPr>
          <w:rFonts w:eastAsia="Calibri"/>
        </w:rPr>
        <w:t xml:space="preserve">Services are provided that respect the choices, personal privacy, independence, individual needs and dignity of residents and staff were noted to be interacting with residents in a respectful manner. </w:t>
      </w:r>
    </w:p>
    <w:p w:rsidRPr="00A4268A">
      <w:pPr>
        <w:spacing w:before="240" w:line="276" w:lineRule="auto"/>
        <w:rPr>
          <w:rFonts w:eastAsia="Calibri"/>
        </w:rPr>
      </w:pPr>
      <w:r w:rsidRPr="00A4268A">
        <w:rPr>
          <w:rFonts w:eastAsia="Calibri"/>
        </w:rPr>
        <w:t>Care for residents who identify as Maori is guided by a comprehensive Māori health plan and related policies.</w:t>
      </w:r>
    </w:p>
    <w:p w:rsidRPr="00A4268A">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formal interpreting services if required.  </w:t>
      </w:r>
    </w:p>
    <w:p w:rsidRPr="00A4268A">
      <w:pPr>
        <w:spacing w:before="240" w:line="276" w:lineRule="auto"/>
        <w:rPr>
          <w:rFonts w:eastAsia="Calibri"/>
        </w:rPr>
      </w:pPr>
      <w:r w:rsidRPr="00A4268A">
        <w:rPr>
          <w:rFonts w:eastAsia="Calibri"/>
        </w:rPr>
        <w:t>The service has linkages with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An organisational strategic plan, a Flaxmore Lifecare business plan and a comprehensive quality and risk management plan include the scope, direction, goals, values and mission statement of the organisation as well as short and long-term objectives.  Regular monitoring of the services is occurring with relevant reports being provided to the governing body. Reviews of the quality and risk management system are ensuring accountability.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ongoing improvements. Staff are involved and feedback is sought from residents and families. Adverse events are documented with corrective actions implemented when required. Actual and potential risks, including health and safety risks, are identified and mitigated.  Policies and procedures that support service delivery are current and undergo ongoing reviews.  </w:t>
      </w:r>
    </w:p>
    <w:p w:rsidRPr="00A4268A">
      <w:pPr>
        <w:spacing w:before="240" w:line="276" w:lineRule="auto"/>
        <w:rPr>
          <w:rFonts w:eastAsia="Calibri"/>
        </w:rPr>
      </w:pPr>
      <w:r w:rsidRPr="00A4268A">
        <w:rPr>
          <w:rFonts w:eastAsia="Calibri"/>
        </w:rPr>
        <w:t xml:space="preserve">Human resources processes, which include the appointment, orientation and management of staff, are based on current good practice. Internal and external training opportunities are available, documented and support safe service delivery.  </w:t>
      </w:r>
    </w:p>
    <w:p w:rsidRPr="00A4268A">
      <w:pPr>
        <w:spacing w:before="240" w:line="276" w:lineRule="auto"/>
        <w:rPr>
          <w:rFonts w:eastAsia="Calibri"/>
        </w:rPr>
      </w:pPr>
      <w:r w:rsidRPr="00A4268A">
        <w:rPr>
          <w:rFonts w:eastAsia="Calibri"/>
        </w:rPr>
        <w:t xml:space="preserve">Staffing levels and the skill mix of staff meet the changing needs of residents. </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in using integrated electronic and hard copy files.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organisation works closely with the local Needs Assessment and Service Co-ordination Service, to ensure access to the facility is appropriate and efficiently managed. When a vacancy occurs, relevant information is provided to the potential resident/family to facilitate the admission. </w:t>
      </w:r>
    </w:p>
    <w:p w:rsidRPr="00A4268A"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might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is overseen by two diversional therapists and provides residents with a variety of individual and group activities seven days a week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was overall clean and well maintained. Rooms are of a suitable size and large dining and lounge areas enable easy movement. There is a current building warrant of fitness.  Electrical equipment is tested and bio-medical equipment calibration checks are undertaken as required. Communal and individual spaces enable independence and the design of the building is used to promote opportunities for residents to mobilise around it with minimal restrictions. External areas are accessible, safe and include some special interest features.   </w:t>
      </w:r>
    </w:p>
    <w:p w:rsidRPr="00A4268A">
      <w:pPr>
        <w:spacing w:before="240" w:line="276" w:lineRule="auto"/>
        <w:rPr>
          <w:rFonts w:eastAsia="Calibri"/>
        </w:rPr>
      </w:pPr>
      <w:r w:rsidRPr="00A4268A">
        <w:rPr>
          <w:rFonts w:eastAsia="Calibri"/>
        </w:rPr>
        <w:t>Waste and hazardous substances are well managed. Staff use protective equipment and clothing that is readily available. Chemicals, soiled linen and equipment are safely stored and managed appropriately. Laundry is undertaken onsite and cleaning and laundry processes are evaluated for effectiveness.</w:t>
      </w:r>
    </w:p>
    <w:p w:rsidRPr="00A4268A">
      <w:pPr>
        <w:spacing w:before="240" w:line="276" w:lineRule="auto"/>
        <w:rPr>
          <w:rFonts w:eastAsia="Calibri"/>
        </w:rPr>
      </w:pPr>
      <w:r w:rsidRPr="00A4268A">
        <w:rPr>
          <w:rFonts w:eastAsia="Calibri"/>
        </w:rPr>
        <w:t>Staff are trained in emergency procedures and emergency supplies and equipment are available. Fire evacuation procedures are practised six-monthly.  Call bells are available for use when required.   Systems are in place to ensure security is maintained.</w:t>
      </w:r>
    </w:p>
    <w:p w:rsidRPr="00A4268A">
      <w:pPr>
        <w:spacing w:before="240" w:line="276" w:lineRule="auto"/>
        <w:rPr>
          <w:rFonts w:eastAsia="Calibri"/>
        </w:rPr>
      </w:pPr>
      <w:r w:rsidRPr="00A4268A">
        <w:rPr>
          <w:rFonts w:eastAsia="Calibri"/>
        </w:rPr>
        <w:t xml:space="preserve">The building has suitable heating and ventilation systems and inside temperatures are monitored.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and would guide any restraint use. The facility promotes a restraint free environment and there were no restraints, or enablers, in use at the time of audit. Appropriate processes are known about and relevant documentation is available, should the use of a restraint be required. Staff have completed training on the use of restraints and enablers, as well as on behaviours that challenge, and described key aspects on the topics during interviews.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appropriately trained infection control nurse, aims to prevent and manage infections. Specialist infection prevention and control advice is accessed from the district health board. The programme is reviewed annually.</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data is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3</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98"/>
        <w:gridCol w:w="1280"/>
        <w:gridCol w:w="101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Flaxmore Lifecare (Flaxmore) has policies, procedures and processes in place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understand the principles and practice of informed consent. Informed consent policies provide relevant guidance to staff. Clinical files reviewed show that informed consent has been gained appropriately using the organisation’s standard consent form including for photographs, outings, invasive procedures and collection of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Advance care planning, establishing and documenting enduring power of attorney (EPOA) requirements and processes for residents unable to consent is defined and documented where relevant in the resident’s file. Staff demonstrated their understanding by being able to explain situations when this may occur. All residents’ files reviewed had EPOAs in place and activated.</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 to 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and family members are given a copy of the Code, which also includes information on the Advocacy Service. Posters related to the Advocacy Service were also displayed in the facility, and additional brochures were available at reception. Resident meeting minutes are noted to inform residents and families of the availability of advocacy services if required. Family members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aware of how to access the Advocacy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families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comments/complaints and compliments policy, procedure and associated forms meet the requirements of Right 10 of the Code.  Information on the complaint process is available at the front entrance by reception. Family members are provided with information at the time of their relative’s admission and this is discussed in the presence of the prospective resident. There was awareness among people interviewed about the complaints process. Residents’/families concerns are taken seriously.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 of complaints was reviewed and showed that five had been received throughout 2018 and one since 2019 started. There is a recurring theme of the odour in the carpets (refer corrective action in 1.4.2.6).  All complaints in the register have been followed through and responded to. Action plans showed any required follow up and improvements have been made where possible.  The facility manager is responsible for complaints management and follow up. All staff interviewed confirmed a sound understanding of the complaint process and what actions are required. There have been no complaints received from external sources since the previous audit.  Review of correspondence related to a Health and Disability Commissioner complaint for an external service that has links with Flaxmore Lifecare shows the request for information has been responded to as required. This was not a complaint about the services provided by this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asked about all aspects of consumer rights during this audit. At times however due to the residents medical circumstances the opinions of family members and enduring power of attorneys (EPOAs) was used to provide a consumer perspective. Residents and family members/whanau interviewed reported being made aware of the Code and the Nationwide Health and Disability Advocacy Service (Advocacy Service) as part of the admission information provided, discussion with staff and visits by the local advocacy service advisor at resident and family meetings. The Code is displayed in common areas around the facility. A range of information brochures are available at reception, including brochures on the Code, information on advocacy services, how to make a complaint and forms that enable opportunities to provide feedback.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confirmed that services are provided in a manner that has regard for their dignity, privacy, sexuality, spirituality and choices. This was observed in all levels of services provided,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ensuring resident information is held securely and privately, exchanging verbal information and discussion with families and the GP. All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participating in community activities, regular outings to the local shops or areas of interest and participation in activities of their choosing. Each lifestyle plan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then provided on an annual basis, as confirmed by staff and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at Flaxmore at the time of audit, who identified as Maori.  Interviews verified staff can support residents who identify as Māori to integrate their cultural values and beliefs. The principles of the Treaty of Waitangi are incorporated into day to day practice, as is the importance of whānau to Māori residents. There is a current Māori health plan developed at organisational level with input from cultural advisers. A local Maori Health provider will provide Flaxmore with staff education and advise on meeting the needs of Maori residents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of Flaxmore verified that they were consulted on their individual culture, values and beliefs and that staff respected these. Resident’s personal preferences, daily routines, previous lifestyle practices, required interventions and special needs were highly regarded at Flaxmore. Care plans provided detailed documentation around residents’ individual needs, for example, religious practices, food likes and dislikes and attention to preferences around activities of daily living. National cultural days of significance to staff and residents are recognised and celebrated.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that residents were free from any type of discrimination, harassment or exploitation and felt safe. A visiting general practitioner (GP), hospice nurse and nurse educator from the Nelson Marlborough District Health Board (NMDHB) expressed a high level of satisfaction with the standard of services provided to residents at Flaxmore and the focus on the attention to meeting individualised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and expected behaviours. All registered nurses (RN’s) have records of completion of the required training on professional boundaries. Staff are provided with a Code of Conduct as part of their individual employment contract. Ongoing education is also provided on an annual basis, which was confirmed in staff training records. Staff are guided by policies and procedures and, when interviewed, demonstrated a clear understanding of what would constitute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and promotes good practice through evidence-based policies, input from external specialist services and allied health professionals, for example, hospice/palliative care team, physiotherapist, wound care specialist and mental health services for older people.</w:t>
            </w:r>
          </w:p>
          <w:p w:rsidR="00EB7645" w:rsidRPr="00BE00C7" w:rsidP="00BE00C7">
            <w:pPr>
              <w:pStyle w:val="OutcomeDescription"/>
              <w:spacing w:before="120" w:after="120"/>
              <w:rPr>
                <w:rFonts w:cs="Arial"/>
                <w:b w:val="0"/>
                <w:lang w:eastAsia="en-NZ"/>
              </w:rPr>
            </w:pPr>
            <w:r w:rsidRPr="00BE00C7">
              <w:rPr>
                <w:rFonts w:cs="Arial"/>
                <w:b w:val="0"/>
                <w:lang w:eastAsia="en-NZ"/>
              </w:rPr>
              <w:t>Leadership at Flaxmore is provided by an experienced management team committed to providing high quality individualised care to residents and enabling staff the opportunity to meet the resident’s individualised needs. Clinical reviews are held weekly to ensure staff remain focussed on the resident’s best interests.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are all trained or in training to care for residents with dementia. The nurse educator from the NMDHB on interview, identified the care provided by staff was at a level her teaching aspires to achieve. The philosophy of care at Flaxmore, seeks out reasons for residents presenting with behaviours that challenge those around them, and addressing the cause to maximise residents’ comfort, in partnership with the family.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initiative to improve the oral health of the residents has been implemented; after it was identified comfort is compromised by this being not managed appropriately. Evidence was sighted of resident’s behaviour and comfort improving after they had received the required oral care, by specialist services. Residents were enabled to enjoy their meals, eat their food and not be in constant pain. The initiative has highlighted the need for better oral care to be provided earlier, to minimise the potential of discomfort. It has also highlighted the potential that certain behaviours seen in residents with dementia may be related to poor oral health rather than the dementing process. This initiative is ongoing currently.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such as on-line forums,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Other examples of good practice observed during the audit included a commitment to providing individualised care, within an environment that focussed on the needs of the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 own or their relative’s status, were advised in a timely manner about any incidents or accidents and outcomes of regular and any urgent medical reviews. This was supported in residents’ records reviewed. There was also evidence of resident/family input into the care planning process. Photos are on display of the day to day activities by the residents. Newsletters are sent out every two months to keep family members informed, and family members are invited to the quarterly residents’ meetings.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the NMDHB when required. Staff knew how to do this, though reported interpreter services were rarely required due to all present residents being able to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Heritage Lifecare (BPA) Limited (HLL), the company that owns and operates Flaxmore Lifecare, last reviewed their strategic plan in 2018 and a copy was reviewed. The purpose, values, scope, direction and goals of the organisation are clear with a resident-focus approach evident. A business plan 2018 – 2019 was sighted and includes site specific goals for Flaxmore Lifecare. The plan provides direction and goals related to continuous quality improvement, the ongoing professional development of staff, developing and maintaining strong relationships with stakeholders and the intention to maintain occupancy at 95% or over. Operational plans sit under annual and longer-term objectives. A comprehensive organisational quality and risk management plan is consistent with the strategic and business plans and described monitoring and evaluation processes for accountability purposes.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Weekly reports are provided by the facility manager to the support office and monthly reports on clinical indicators are provided by the clinical services manager. Adequate information to monitor performance is reported including clinical quality indicators and key performance indicators related to issues such as occupancy, staffing, financial performance, and emerging risks and issues including adverse events and any non-compliance.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been in the role at this facility for nearly four years. She is suitably qualified and experienced with diplomas in business and frontline management and management experience in hospitality and hotel management, human resources and the health sector. Of 38 years working in the aged care sector in Australia, 30 of these were within management roles. The facility manager is maintaining her professional development within her areas of expertise and attends the regional aged care District Health Board meetings. Responsibilities and accountabilities are defined in a position description and individual employment agreement.  The facility manager confirmed knowledge of the sector, regulatory and reporting requirements. Currency is maintained through participating in on-site training, undertaking external professional development opportunities and maintaining regular links with local managers from similar types of services and organisations. The manager is a workplace assessor up to level four for Careerforce.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provider holds contracts with the local District Health Board to provide rest home level dementia care only under the Aged Related Residential Care Agreement (ARRC) and respite care. It also delivers a Ministry of Health contract for Young Persons with Disabilities (YPD). On the first day of audit, there were forty residents receiving rest home level dementia care, three of whom were under the YPD contract. No residents were receiving respite care and there were ten empty beds.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the facility manager is absent, it is usually the clinical services manager who undertakes the required duties under delegated authority. The clinical services manager also has access to the operations / area manager at the support office for additional advice and support and to the HLL Quality Team, which has clinical representation.  However, the facility manager noted she is seldom away for long and even while absent is generally in telephone contact.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absences of the clinical services manager, a senior registered nurse who was on leave during the audit, would share the load and has done so. Staff reported the current arrangements work well and that they consistently have sufficient access to advice and support when needed. Another facility nearby has recently been purchased by HLL and their team will be available for additional support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responses to and management of incidents and complaints, audit activities, a regular patient satisfaction survey, monitoring of outcomes, clinical incidents including infections, any use of restraints or enablers and quality improvement processes.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Both monthly quality meeting minutes and monthly staff meeting minutes reviewed confirmed regular review and analysis of quality indicators. Related information is reported and discussed at the various meetings held. Staff reported their involvement in quality and risk management activities through participation in internal audits, attending meetings or reading minutes, making efforts to reduce the number of incidents and taking on roles such as health and safety officer. Relevant corrective actions and quality improvements are developed, documented on quality action forms and the plans implemented to address any identified shortfalls. Family / resident satisfaction surveys are completed annually; however, results of the first under HLL, which is also the most recent survey, were not available as the survey is still under way with results due in February 2019. Quality improvement initiatives in relation to daily, weekly and monthly analyses of clinical indicators is being undertaking at a level demonstrating continuous improvement with positive outcomes occurring for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reviewed cover all necessary aspects of the service and contractual requirements, including reference to the interRAI Long Term Care Facility (LTCF) assessment tool and process.  Policies are based on best practice and were current. Heritage Lifecare (BPA) Limited (HLL) are currently in the process of progressively reviewing all documentation to ensure it meets the needs of the facilities and is applicable for the introduction of the electronic recording systems that are progressively being introduced.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described the processes for the identification, monitoring, review and reporting of risks and development of mitigation strategies. A generic organisational risk register is in place and the facility manager reviews these alongside the risks specifically identified for Flaxmore Lifecare. Existing quality and risk monitoring systems cover most of the review requirements. </w:t>
            </w:r>
          </w:p>
          <w:p w:rsidR="00EB7645" w:rsidRPr="00BE00C7" w:rsidP="00BE00C7">
            <w:pPr>
              <w:pStyle w:val="OutcomeDescription"/>
              <w:spacing w:before="120" w:after="120"/>
              <w:rPr>
                <w:rFonts w:cs="Arial"/>
                <w:b w:val="0"/>
                <w:lang w:eastAsia="en-NZ"/>
              </w:rPr>
            </w:pPr>
            <w:r w:rsidRPr="00BE00C7">
              <w:rPr>
                <w:rFonts w:cs="Arial"/>
                <w:b w:val="0"/>
                <w:lang w:eastAsia="en-NZ"/>
              </w:rPr>
              <w:t>The manager supervises the health and safety officer, who is a suitably trained senior caregiver and is responsible for ensuring the requirements are implemented.  Relevant reports are presented to the monthly quality meetings. A hazard register is in place and there was evidence of ongoing reviews of this register.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The facility manager follows up and manages incidents related to staff, while the clinical services manager follows up those related to residents. In the sample of incident forms reviewed, there was evidence of sign off and appropriate actions implemented when indicated. Open disclosure was ‘ticked off’ with the people spoken with noted. Incidents are investigated, action plans developed and actions followed-up in a timely manner. Incidents are registered on’ ECase’, a recently introduced electronic review system and copies of incident forms are provided to the HLL support office.   Adverse event data is collated and analysed at the local level and are a component of the clinical indicator data reports that goes to the HLL support office every month, where the information is further analysed. Many of the incidents in this facility are documented as being the result of resident related behaviours, although the facility manager and clinical services manager noted that when looking at causes, this often led back to staff not following expected procedures when managing a resident(s). Examples of changes made as a result of the analysis of incidents, such as people with multiple falls, has identified solutions with more than one person assisted to have an afternoon rest after it was identified multiple falls were occurring between 1pm and 4pm. This has resulted in a significant decrease in falls during this time frame.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described essential notification reporting requirements, with examples provided being for significant/sentinel events, infection outbreaks and insufficient staff to adequately care for residents. According to the facility manager there have been no notifications of significant events made to the Ministry of Health since the provisional audit approximately a year ago.  It was noted that the support office is also to be advised of any such events.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practices and relevant legislation. The current recruitment process includes referee checks, personal interviews, police vetting and validation of training and qualifications. A sample of staff records reviewed confirmed the organisation’s policies are being consistently implemented for new staff being employed and that records are maintained. A file of Annual Practising Certificates showed these were being checked annually and copies of relevant documentation were available for all registered nurses, GPs, pharmacists, the podiatrist and the dietitian who are associated with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and the checklist is signed off by the relevant department head. During interview, staff were positive about their orientation process and about the changes made to ensure staff are buddied by the same staff person for all of the buddied shifts they undertake. Staff records reviewed show documentation of completed orientation checklists.  A performance review after a three-month period is now being undertaken and records of these were viewed for staff employed since HLL commenced. Appointments are scheduled for two other more recent employees.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according to a list of mandatory training requirements. A calendar of these requirements is updated when the training session(s) are organised, and the type of presentation is noted. Additional special interest topics are also organised as applicable. Individual staff may also request to undertake a specific external training if relevant to their role and examples of this were sighted. Attendance records are maintained, and a topic may be repeated if staff attendance is low. Care staff have either completed or commenced a New Zealand Qualification Authority education programme to meet the requirements of the provider’s agreement with the DHB. All four registered nurses are maintaining their annual competency requirements to undertake interRAI assessments. Records reviewed demonstrated overall completion of suitable staff training as required for dementia care services with introductory sessions provided to all new staff followed by their attendance at externally provided courses. Courses on managing various aspects of dementia care are also scheduled throughout the year. Not all staff annual performance appraisals were current, and this has been raised for corrective action.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organisational policies on ‘Safe Staffing of HLL Aged Care Facilities’ and on the roster and time sheets provide guidance for determining staffing levels and skill mixes to provide safe service delivery, 24 hours a day, seven days a week (24/7). Staffing levels are being adjusted to meet the changing needs of residents, including when there are changes in occupancy levels. Additional funding has been accessed to provide additional staff when acuity levels, including for palliative care provision for a person, have risen.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clinical services manager is on duty for eight hours Monday to Friday at the same time as another registered nurse. There is registered nurse cover until 11pm and that nurse takes the on-call phone home and is on call until the following morning. The facility manager is available for non-clinical on-call requirements. Care staff reported that they feel well supported by senior staff and managers. They also stated that there were sufficient numbers of staff available to complete the work allocated to them. If staff are experiencing heavier workloads and feel they need additional staff on a shift(s) they are invited to approach the manager and justify their request. The facility manager, in consultation with the clinical services manager, will oblige by providing additional staff, or lengthening what is referred to as the ‘short shift’ and monitoring the situation. Family members interviewed expressed confidence in the staffing levels.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Observations and review of a four-week roster cycle confirmed adequate staff cover has been provided, with staff replaced in any unplanned absence with people either from the casual pool or staff wanting additional shifts. Short shifts are evident to cover the busier timeframes. No agency staff are used at Flaxmore Lifecare. Staff with additional competencies, including for medicine administration and first aid, are identifiable on the roster. A team leader, who is a senior caregiver, is allocated on the roster for each shift.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on labels as the unique identifier on all residents’ information sighted. All necessary demographic, personal, clinical and health information was fully completed in the residents’ files sampled for review. Clinical notes were current and integrated with GP and allied health service provider notes.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Electronic medication records are stored in a secure portal.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enter the service when their required level of care has been assessed and confirmed by the local Needs Assessment and Service Coordination (NASC) Service. Prospective residents and their families are encouraged to visit the facility prior to admission and meet with the facility manager (FM) or the clinical services manager (CSM). They are also provided with written information about the service and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authorities to provide services in a secure environment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NDHB ‘yellow envelope’ system to facilitate transfer of residents to and from acute care services. There is open communication between all services, the resident and the family. At the time of transition between services, appropriate information, including medication records and the care plan is provided for the ongoing management of the resident. All referrals are documented in the progress notes. An example reviewed of a patient recently transferred to the local acute care facility showed transfer was managed in a planned and co-ordinated manner.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an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was consistently recorded on the electronic medicine chart.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CSM and recorded on an accident/incident form.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cook and is in line with recognised nutritional guidelines for older people. The menu follows summer and winter patterns and was developed by a qualified dietitian in November 2018. </w:t>
            </w:r>
          </w:p>
          <w:p w:rsidR="00EB7645" w:rsidRPr="00BE00C7" w:rsidP="00BE00C7">
            <w:pPr>
              <w:pStyle w:val="OutcomeDescription"/>
              <w:spacing w:before="120" w:after="120"/>
              <w:rPr>
                <w:rFonts w:cs="Arial"/>
                <w:b w:val="0"/>
                <w:lang w:eastAsia="en-NZ"/>
              </w:rPr>
            </w:pPr>
            <w:r w:rsidRPr="00BE00C7">
              <w:rPr>
                <w:rFonts w:cs="Arial"/>
                <w:b w:val="0"/>
                <w:lang w:eastAsia="en-NZ"/>
              </w:rPr>
              <w:t>A food control plan is in place and was registered with the Nelson City Council in June-2018.</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observation, weight charts, resident and family interviews, and resident and family meeting minutes. Any areas of dissatisfaction were promptly responded to. Residents were seen to be given time to eat their meal in an unhurried fashion and those requiring assistance had this provided. Residents were often seen wandering around and eating on the go, with staff providing food items in line with residents’ interest. There were enough staff on duty in the dining rooms at meal times to ensure appropriate assistance was available to residents as needed. Residents have access to food and fluids at any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NASC is advised to ensure the prospective resident/family are supported to find an appropriate care alternative. If the needs of a resident changes and they are no longer suitable for the service offered, a referral for reassessment to the NASC is made and a new placement found, in consultation with the resident and whānau/family. Examples of this occurring were discussed with the CSM.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of Flaxmore are initially assessed using a range of nursing assessment tools, such as pain scale, falls risk, skin integrity, oral health, behaviour, continence, social and activities, nutritional screening and depression scale, to identify any deficits and to inform initial care planning. Within three weeks of admission residents are assessed using the interRAI assessment tool, to inform long term care planning. Reassessment using the interRAI assessment tool, in conjunction with additional assessment data (e.g., the Abbie pain assessment), occurs every six months or more frequently as a resident’s changing condition requires.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files reviewed, initial assessments were completed as per the policy and within 24 hours of admission. InterRAI assessments were completed within three weeks of admission and at least six monthly unless the resident’s condition changed. Interviews, documentation and observation verified the RNs are familiar with requirement for reassessment of a resident using the interRAI assessment tool when needed. </w:t>
              <w:br/>
              <w:br/>
              <w:t>All residents have current interRAI assessments completed by one of four trained interRAI assessors on site. InterRAI assessments are used to inform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individualised support needs of residents, and the outcomes of the integrated assessment process and other relevant clinical information. The needs identified by the interRAI assessments were reflected in the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In files reviewed, all components of care planning were in partnership with the resident, family and the multidisciplinary team. Plans identified triggers that were likely to impact on residents, and planning was based around reducing the triggers where possible. A resident, who gets distressed when their clothes are taken to the laundry, has a plan that includes clothes being laundered and returned promptly. A resident on warfarin, who refuses regular blood tests to monitor warfarin levels, has a plan in place to manage the resident’s risk within the constraints of not being subjected to regular blood tests. A resident admitted with weight loss, and refuses meal supplements, had additional nutritional support added, and the resident is increasing in weight. Residents with a change in behaviour are immediately assessed for pain. Evidence was sighted of improved behaviours and a reduction in the use of antipsychotic medication when pain has been managed effectively.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was documented and verbally passed on to relevant staff.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verified the provision of care to residents was consistent with their individualised needs, goals and the plan of care (refer criterion 1.3.5). The attention to meeting a diverse range of resident’s individualised needs was evident. Changes in residents’ behaviour was promptly responded to, to identify the cause, address it and minimise the level of discomfort for the resident. Weight loss was attended to immediately, with consideration given to identifying a cause, including an oral assessment, in addition to ensuring staff focus on enabling the resident increased opportunity to have their nutritional needs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interviewed, verified that medical input is sought in a timely manner, that medical orders are followed, and care is of a high standard. Care staff confirmed that care was provided as outlined in the documentation. </w:t>
            </w:r>
          </w:p>
          <w:p w:rsidR="00EB7645" w:rsidRPr="00BE00C7" w:rsidP="00BE00C7">
            <w:pPr>
              <w:pStyle w:val="OutcomeDescription"/>
              <w:spacing w:before="120" w:after="120"/>
              <w:rPr>
                <w:rFonts w:cs="Arial"/>
                <w:b w:val="0"/>
                <w:lang w:eastAsia="en-NZ"/>
              </w:rPr>
            </w:pPr>
            <w:r w:rsidRPr="00BE00C7">
              <w:rPr>
                <w:rFonts w:cs="Arial"/>
                <w:b w:val="0"/>
                <w:lang w:eastAsia="en-NZ"/>
              </w:rPr>
              <w:t>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two trained diversional therapists, seven days a week. </w:t>
            </w:r>
          </w:p>
          <w:p w:rsidR="00EB7645" w:rsidRPr="00BE00C7" w:rsidP="00BE00C7">
            <w:pPr>
              <w:pStyle w:val="OutcomeDescription"/>
              <w:spacing w:before="120" w:after="120"/>
              <w:rPr>
                <w:rFonts w:cs="Arial"/>
                <w:b w:val="0"/>
                <w:lang w:eastAsia="en-NZ"/>
              </w:rPr>
            </w:pPr>
            <w:r w:rsidRPr="00BE00C7">
              <w:rPr>
                <w:rFonts w:cs="Arial"/>
                <w:b w:val="0"/>
                <w:lang w:eastAsia="en-NZ"/>
              </w:rPr>
              <w:t>A social assessment and history are undertaken on admission to ascertain residents’ needs, interests, abilities and social requirements. The residents “My Life” profile is developed and includes photos of events that the residents have been involved in. Activities assessments are used to formulate an individualised activity plan and an activities programme that is meaningful to the resident. The resident’s activity plans are reviewed every three months and as part of the formal six-monthly care plan review.</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initiative implemented by the diversional therapists, to assist new residents to settle in to Flaxmore, is an area identified as one of continuous improvement.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matches the skills, likes, dislikes and interests identified in assessment data. Activities reflected residents’ goals, ordinary patterns of life and included normal community activities. Individual, small group activities and regular events are offered. Examples included riding for the disabled (two of the residents used to be jockeys), baking, dog therapy, peeling potatoes, neighbourhood walks, van outings, church services, target golf, visits to the ‘men’s’ shed’, quizzes, and gardening. Younger residents at Flaxmore were supported to access community initiatives with a support person.</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discussed at the minuted residents’ and family meetings and indicated residents and family input is sought and responded to. Families interviewed confirmed the programme meets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at Flaxmore is continually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Examples of short-term care plans being consistently reviewed were sighted for behaviour management, infections, pain, weight loss, and wound care. Progress was evaluated as clinically indicated and according to the degree of risk noted during the assessment process.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main medical provider, residents/families may choose to use another medical practitioner. If the need for other non-urgent services are indicated or requested, the GP, NP or CSM sends a referral to seek specialist input. Copies of referrals were sighted in residents’ files, including to older persons’ mental health services. Referrals are followed up on a regular basis by the CSM or the GP. The resident and the family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A change in the external company contracted to supply and manage chemicals and cleaning products has occurred within the past year and the company has provided relevant training for staff. Three spill kits are stored throughout the facility.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set of three rubbish skips for the management of general rubbish, plastics, cardboard/paper and food waste, which are removed and replaced by an external contractor, are in place at the rear of the facility. Potentially infectious waste is double bagged prior to disposal in general waste.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provision and availability of protective clothing and equipment including gloves, masks, face shields, goggles and plastic aprons. Staff were observed using these. Hand sanitiser was in dispensers strategically positioned throughout the facility to ensure the safety of the residents with dementia.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with an expiry date of 5 July 2019. Appropriate systems are in place to ensure the residents’ physical environment and facilities are fit for their purpose and maintained.  Any broken equipment or identified hazard is reported to a maintenance person who addresses the issue in a timely manner. A person was in a designated position for maintenance; however, this work is currently being undertaken by a contractor using relevant forms and recording systems. The testing and tagging of electrical equipment and the calibration of bio medical equipment was current; as confirmed in documentation reviewed and observation of the environment.  Checks of mechanical equipment including wheelchairs and hoists for example are undertaken according to the schedule detailed in policy documents. Efforts are made to ensure the environment is hazard free and residents are safe.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tidy, safely maintained and are appropriate to the resident group and setting.  Quality improvement projects related to two specific external areas have been implemented and a continuous improvement allocated for this criterion. These involved the laying of a path/walking track, erection of a soft fence and the development of a sensory garden. Evaluations inform how these projects have enhanced the lives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This includes a mix of ensuites, separate shared toilet and hand basin units and separate shared toilets and showers.  Toilets are appropriately pictorially labelled and have a sliding notification plate informing if it is occupied or vacant. </w:t>
            </w:r>
          </w:p>
          <w:p w:rsidR="00EB7645" w:rsidRPr="00BE00C7" w:rsidP="00BE00C7">
            <w:pPr>
              <w:pStyle w:val="OutcomeDescription"/>
              <w:spacing w:before="120" w:after="120"/>
              <w:rPr>
                <w:rFonts w:cs="Arial"/>
                <w:b w:val="0"/>
                <w:lang w:eastAsia="en-NZ"/>
              </w:rPr>
            </w:pPr>
            <w:r w:rsidRPr="00BE00C7">
              <w:rPr>
                <w:rFonts w:cs="Arial"/>
                <w:b w:val="0"/>
                <w:lang w:eastAsia="en-NZ"/>
              </w:rPr>
              <w:t>Appropriately secured and approved handrails are provided in the toilet/shower areas, and other equipment/accessories are available to promote resident independence.  The clinical services manager described a quality improvement project undertaken in one wing in which the configuration of the toilets has enabled the residents to see the toilet as soon as they open the door. Results showed that this has resulted in improved compliance with use of the toilet and a reduction in continence problems.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provide single accommodation.  Rooms are personalised with furnishings, photos and other personal items displayed alongside a ‘My Life’ profile. Each person’s door has something pertinent to their pat displayed on it to enable easier identification for them. Staff reported the adequacy of bedrooms and family members expressed appreciation at having the opportunity to contribute to decoration of their relative’s room.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as they choose. The dining and lounge areas are spacious and enable easy access for residents and staff.  There are larger lounges in each wing with dining areas alongside in two of the three wings. One wing has a separate dining area. All communal areas garden outlooks and enable residents to have external access at any time. Residents can access other areas for privacy, if required and may choose to have their meals in their room if this makes their life easier.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Laundry is undertaken on-site in a dedicated laundry. A mix of care staff and dedicated laundry staff undertake laundry duties and an interview with a person who frequently undertakes these duties occurred. This person demonstrated a sound knowledge of the laundry processes, dirty/clean flow and handling of soiled linen. An organised system for returning residents’ laundry was witnessed.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designated cleaning team who have received appropriate training.  Chemicals were stored in a lockable cupboard and were in appropriately labelled containers. The company that provides the chemicals has provided all staff, especially the laundry and kitchen staff with appropriate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and laundry processes are monitored through the internal audit programme, informal family conversations and feedback processes such as resident/family meetings. Schedules for both services are available. Internal audit results report on the strong unpleasant odour of urine throughout the Teal and Maitai wings and an action plan has been developed. The cleaning staff have diligently made all efforts to prevent this worsening and to address the problem but to date have been unsuccessful. A corrective action has been raised to ensure the carpet replacement occurs as soon as possible.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guidelines for emergency planning, preparation and response are available. Staff confirmed their awareness of these, who is responsible for different levels of response and of the different levels of emergency. Disaster and civil defence planning guides direct the facility in their preparation for disasters and describe the procedures to be followed in the event of a fire or other emergency.   The current fire evacuation plan was approved by the New Zealand Fire Service on 8 September 2006. A trial evacuation takes place six-monthly with a copy sent to the New Zealand Fire Service, the most recent being November 2018. The orientation programme includes fire and security training.  </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torches, blankets, mobile phones and a gas BBQ with additional gas bottles in storage were sighted and meet the requirements for full occupancy. The quantity of bottled water stored in the garage for use in an emergency is consistent with the latest information from the local council. All emergency equipment and supplies are checked monthly and evidence of this was sighted.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Staff reported that there is minimal use of call bells by this group of residents; however, they noted that they receive ongoing reminders about the importance of responding to them. Families reported staff respond promptly to call bells when they are used.</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External windows in vulnerable areas of the facility have security latches in situ. Doors and windows are locked at a predetermined time and both the afternoon and night shift staff sign off building security checks each day/night. All residents are accounted for at allocated timeframes throughout the day.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and communal areas are heated and ventilated appropriately.  The monitoring of indoor temperatures has been occurring weekly; however, with stable appropriate temperatures recorded, this is changing to monthly. Residents’ rooms have natural light and opening external windows and in communal dining and lounge areas glass doors open onto patio and garden areas. </w:t>
            </w:r>
          </w:p>
          <w:p w:rsidR="00EB7645" w:rsidRPr="00BE00C7" w:rsidP="00BE00C7">
            <w:pPr>
              <w:pStyle w:val="OutcomeDescription"/>
              <w:spacing w:before="120" w:after="120"/>
              <w:rPr>
                <w:rFonts w:cs="Arial"/>
                <w:b w:val="0"/>
                <w:lang w:eastAsia="en-NZ"/>
              </w:rPr>
            </w:pPr>
            <w:r w:rsidRPr="00BE00C7">
              <w:rPr>
                <w:rFonts w:cs="Arial"/>
                <w:b w:val="0"/>
                <w:lang w:eastAsia="en-NZ"/>
              </w:rPr>
              <w:t>Ceiling heating has been installed in the residents’ rooms and in the hallways. Two heat pumps for air conditioning are in lounge areas and another is about to be installed in the Redwood wing lounge. Evidence of this about to occur was viewed. Fans for cooling purposes are available. Areas were well ventilated throughout the audit and families and staff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Flaxmore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developed at organisational level with input from the CSM and the infection control nurse (ICN). The infection control programme and manual has been reviewed within the last year.  </w:t>
            </w:r>
          </w:p>
          <w:p w:rsidR="00EB7645" w:rsidRPr="00BE00C7" w:rsidP="00BE00C7">
            <w:pPr>
              <w:pStyle w:val="OutcomeDescription"/>
              <w:spacing w:before="120" w:after="120"/>
              <w:rPr>
                <w:rFonts w:cs="Arial"/>
                <w:b w:val="0"/>
                <w:lang w:eastAsia="en-NZ"/>
              </w:rPr>
            </w:pPr>
            <w:r w:rsidRPr="00BE00C7">
              <w:rPr>
                <w:rFonts w:cs="Arial"/>
                <w:b w:val="0"/>
                <w:lang w:eastAsia="en-NZ"/>
              </w:rPr>
              <w:t>The RN with input from the CSM is the designated ICN, whose role and responsibilities are defined in a job description. Infection control matters, including surveillance results, are reported monthly to the CSM and tabled at the quality/risk meeting. Infection control statistics are entered in the organisation’s electronic database. The organisation’s national quality and risk manager is informed of any IPC concerns.</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related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ICN has appropriate skills, knowledge and qualifications for the role. The ICN has undertaken post graduate training in infection prevention and control as verified in training records sighted. Well-established local networks with the infection control team at the DHB are available. The ICN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ICN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policies reflected the requirements of the IPC standard and current accepted good practice. Policies were reviewed within the last year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as was appropriate to the setting.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Priorities for staff education are outlined in the infection control programme annual plan. Interviews, observation and documentation verified staff have received education in IPC at orientation and ongoing education sessions. Education is provided by the ICN. Content of the training was documented and evaluated to ensure it was relevant, current and understood. A record of attendance was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an infection outbreak or an increase in infection incidence has occurred, there was evidence that additional staff education has been provided in response. An example of this occurred when there was a recent increase in eye infections.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includes family members.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skin infections.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ICN and CSM review all reported infections. Monthly surveillance data is collated and analysed to identify any trends, possible causative factors and required actions. Results of the surveillance programme are shared with staff via quality and staff meetings and at staff handovers. Surveillance data is entered in the organisation’s electronic infection database. Graphs are produced that identify trends for the current year, and comparisons against previous years.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Organisational policies and procedures on restraint minimisation and safe practice, last reviewed October 2018, meet the requirements of the restraint minimisation and safe practice standards and provide guidance on the safe use of both restraints and enablers.  The restraint coordinator/clinical services manager position description notes the person is to provide support and oversight for any enabler and restraint management 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there were no restraints or enablers in use. The restraint coordinator was very clear that there is a no restraint policy in this facility and informed that they promote their service as a no restraint environment. The facility has not needed to use any form of restraint for around three years, therefore there has not been any use of restraint within the timeframe of the current owner. This information was confirmed by staff during a group interview. Any restraint or enabler requires approval from a national HLL restraint approval group and with no restraint having been used in recent times there is no current restraint register.  During interview, the restraint coordinator demonstrated a sound understanding of the organisation’s policies, procedures and practice and her role and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been updated on the review of the restraint management policy documentation and additional staff education on the topic has been provided to ensure staff understand the related issues, should they ever need to know. The management of behaviours that challenge is also an ongoing in-service education topic.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59"/>
        <w:gridCol w:w="1280"/>
        <w:gridCol w:w="7728"/>
        <w:gridCol w:w="2112"/>
        <w:gridCol w:w="135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performance appraisal process is in place for all staff with the facility manager and the clinical services manager responsible for the reviews of relevant categories of staff. The recording system includes details of the due date. A quality improvement process was implemented in October 2018 when it was identified that not all staff performance appraisals were up to date. Although progress has been made, there were still twelve of the 45 staff on that list whose appraisals were outstanding because they were still incomplete or not completed. The record showed that of those overdue, all had been given their appraisal document to work on; however, these have either not been returned or not yet had an appointment with the respective manager. The record also showed that appraisals due as far back as April and May 2018 are on the overdue list or have just been completed. It was also suggested the recording system is altered to more easily reflect the status of each staff person’s appraisal.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annual performance appraisal system in place. At the time of audit, not all staff had a current completed annual performance appraisal.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All staff have completed each stage of their annual performance appraisal within the last 12 months.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1.4.6.2</w:t>
            </w:r>
          </w:p>
          <w:p w:rsidR="00EB7645" w:rsidRPr="00BE00C7" w:rsidP="00BE00C7">
            <w:pPr>
              <w:pStyle w:val="OutcomeDescription"/>
              <w:spacing w:before="120" w:after="120"/>
              <w:rPr>
                <w:rFonts w:cs="Arial"/>
                <w:b w:val="0"/>
                <w:lang w:eastAsia="en-NZ"/>
              </w:rPr>
            </w:pPr>
            <w:r w:rsidRPr="00BE00C7">
              <w:rPr>
                <w:rFonts w:cs="Arial"/>
                <w:b w:val="0"/>
                <w:lang w:eastAsia="en-NZ"/>
              </w:rPr>
              <w:t>The methods, frequency, and materials used for cleaning and laundry processes are monitored for effectiveness.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need for carpets in the Redwood wing to be replaced was raised for corrective action at the provisional audit and there was evidence that the carpets in this wing and in the reception area had been lifted and replaced with vinyl. A range of internal monitoring processes including complaints from family members, family feedback processes, internal audits and general feedback note that the odour from stale urine in carpets in the remaining wings of Maitai and Teal is also an issue of concern. The team were aware of the problem and an action plan has been implemented. Quotes for these carpets to be replaced with vinyl were sighted and there was evidence of efforts made to deep clean with repeated carpet shampooing occurring. The tradespeople visited during the audit. A corrective action has been raised to address this ongoing issue.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Despite regular cleaning and shampooing of carpeted floor surfaces, internal audits used to monitor cleaning processes, the complaints process, family feedback and auditor observations, note the persistent and strong odour of urine in the Maitai Wing and the Teal Wing.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Carpets in the Maitai Wing and the Teal wing are replaced, and appropriate processes undertaken, to remove the unpleasant odours in these areas.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9046"/>
        <w:gridCol w:w="170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Multiple clinical indicators have been identified and incidences of these, or progress with these, is reported to the support office of Heritage Lifecare (BPA) Limited on a monthly basis. These vary from resident related falls, medication errors, pressure injuries, infections and any restraint use, for example. The clinical services manager at Flaxmore is not only actively collating and analysing this data but is also implementing action plans to address the issues, for which evaluations and reviews are showing significant improvements in many areas for individuals and/or groups of residents, depending on the emergent trend or issue. The clinical services manager informed that she undertakes daily reviews of the clinical indicators and at the end of the month shows the analyses of the data to all staff and discusses it with them. This was confirmed by staff during interview. Interested staff are enthusiastically supporting the clinical services manager and suggested improvements in documented action plans are implemented. Examples include the change of configuration in the toilets/bathrooms in one area, which has resulted in improved continence, and the multiple falls that were identified as occurring between 1pm and 4pm have significantly reduced since the introduction of an afternoon nap for these residents. Pain assessments have become routine for residents demonstrating unsettled behaviours after a person who was being prescribed increasing doses of medicines to reduce their aggression and withdrawal was found to be in pain. Once the pain was addressed, all such signs of aggression have gone. Other similar examples were reported. Another person was found to have weight loss and an increasing disinterest in food. Following removal of their teeth the person’s overall health has improved and weight gain has occurred. This has contributed to the service provider promoting appropriate oral care for all residents and making significant attempts for the community and the DHB dentists to support them in their campaign on this. Overall, the many efforts being made to improve the health and wellbeing of residents as a result of the analysis of clinical indicators and evaluation of implemented actions is demonstrating continuous improvement.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Implementation of changes following the analysis and evaluation of quality improvement data and information, especially the data linked with clinical services, is demonstrating continuous quality improvement. Quality and staff meeting minutes described multiple projects and progress with action plans and subsequent evaluations and reviews that are aimed at improving the lives of the residents, and/or reducing risks to them.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Over the last six months, an initiative was implemented at Flaxmore to trial the use of weighted pet therapy, when residents are admitted and exhibiting signs of increased distress and agitation related to the move to Flaxmore. Three residents were initially identified by observations, as being able to benefit from this intervention. Staff observed a change in the resident’s body language when the weighted animal was put in their laps. Residents displayed a sense of attachment, companionship and comfort and were less distressed. The families were approached to purchase each resident their own animal. Two residents have become completely attached to their animal. The third resident has not got their own animal and is reliant on staff providing the resident with a facility animal. The evaluation of the initiative evidences an improvement in residents’ distress on admission and ongoing use of weighted animals. The success of this initiative is supported by testimonials from families.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To help new residents feel less distressed when admitted to Flaxmore, weighted pet therapy is used and evidenced to make the move into a secure unit less distressful.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1.4.2.6</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accessible external areas that meet their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Several projects have been completed with the purpose of improving the external environment for residents. In one instance it was suggested that residents needed an outdoor area that could stimulate them and with which they could engage in outdoor tasks. Following research, a quality improvement initiative was developed around building a sensory garden. As per an action plan, a previous garden with plants, such as roses was redeveloped, safe and edible plants were identified and planted, signs providing information about the plants were made, fairy lights installed, garden ornaments positioned and a newsletter distributed to remind family members to take residents out for a walk in the garden for a chat about the plants and to taste the fruit and vegetables. The evaluation report described how residents and family members have been witnessed increasingly using the area. Residents have showed enjoyment and pride as they plant, weed and watch the plants grow and eat the produce. Further measures of success have included the number of plants left in the garden compared with previous plantings, observations of residents choosing to go out and just sit or wander around and of them fiddling in the garden with seashells and picking and holding bunches of flowers and herbs (also observed during the audit).  Family members have been observed interacting with their relative about aspects of the garden and have made positive comments. </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also recognised that residents from a specific wing were unsettled, pacing and trying to get out in a specific area of the garden where they could see people coming and going. A plan was developed on a quality action plan and a decision was made to enclose the garden in a friendly way. A brush fence was erected, and the residents have become calmer, they are no longer distressed watching family leave, there is no more pacing or efforts to get through the fence. Family members who were initially unsure about a higher fence have noted the difference and feedback has been positive.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third initiative involved the planned laying of a concrete pathway through various types of garden and foliage areas. The path links from one doorway into another whilst still being in an enclosed area. This is safe and is sensor lit for use at night if a person chooses. A formal opening involving residents and the community was undertaken. Evaluations inform how residents no longer hover around doorways, there is reduced calling out from frustration and many have increased their mobility by walking around the path.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Evaluations of three planned resident-focused projects that involved the re-landscaping of different areas of the external environment describe how the agitation of some residents has subsequently been reduced, increased mobilisation has occurred, and some are responding positively to different sensory stimuli.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(BPA) Limited - Flaxmore Care Home</w:t>
    </w:r>
    <w:bookmarkEnd w:id="58"/>
    <w:r>
      <w:rPr>
        <w:rFonts w:cs="Arial"/>
        <w:sz w:val="16"/>
        <w:szCs w:val="20"/>
      </w:rPr>
      <w:tab/>
      <w:t xml:space="preserve">Date of Audit: </w:t>
    </w:r>
    <w:bookmarkStart w:id="59" w:name="AuditStartDate1"/>
    <w:r>
      <w:rPr>
        <w:rFonts w:cs="Arial"/>
        <w:sz w:val="16"/>
        <w:szCs w:val="20"/>
      </w:rPr>
      <w:t>17 January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