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Te Mana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Mana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November 2018</w:t>
      </w:r>
      <w:bookmarkEnd w:id="7"/>
      <w:r w:rsidRPr="009418D4">
        <w:rPr>
          <w:rFonts w:cs="Arial"/>
        </w:rPr>
        <w:tab/>
        <w:t xml:space="preserve">End date: </w:t>
      </w:r>
      <w:bookmarkStart w:id="8" w:name="AuditEndDate"/>
      <w:r w:rsidR="00A4268A">
        <w:rPr>
          <w:rFonts w:cs="Arial"/>
        </w:rPr>
        <w:t>28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 Mana Home and Hospital (Oceania Healthcare Limited) can provide care for up to 46 residents requiring rest home or hospital level of care. The facility is certified to provide rest home, hospital, and residential disability - physical service. There were 45 residents at that facility on the first day of the audit.</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family, residents by the consumer auditor, management, staff and a general practitioner.</w:t>
      </w:r>
    </w:p>
    <w:p w:rsidRPr="00A4268A">
      <w:pPr>
        <w:spacing w:before="240" w:line="276" w:lineRule="auto"/>
        <w:rPr>
          <w:rFonts w:eastAsia="Calibri"/>
        </w:rPr>
      </w:pPr>
      <w:r w:rsidRPr="00A4268A">
        <w:rPr>
          <w:rFonts w:eastAsia="Calibri"/>
        </w:rPr>
        <w:t>There were no areas requiring improvement at the last audit and no areas identified as requiring improvement at this surveillance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on admission and available within the facility. </w:t>
      </w:r>
    </w:p>
    <w:p w:rsidRPr="00A4268A">
      <w:pPr>
        <w:spacing w:before="240" w:line="276" w:lineRule="auto"/>
        <w:rPr>
          <w:rFonts w:eastAsia="Calibri"/>
        </w:rPr>
      </w:pPr>
      <w:r w:rsidRPr="00A4268A">
        <w:rPr>
          <w:rFonts w:eastAsia="Calibri"/>
        </w:rPr>
        <w:t>There is a documented complaints management system and a complaints register is maintained. The business care manager is responsible for managing complaints. Complaints are investigated and documented, with corrective actions implemented where required. There have been no complaints to external agencies since the last audit.</w:t>
      </w:r>
    </w:p>
    <w:p w:rsidRPr="00A4268A">
      <w:pPr>
        <w:spacing w:before="240" w:line="276" w:lineRule="auto"/>
        <w:rPr>
          <w:rFonts w:eastAsia="Calibri"/>
        </w:rPr>
      </w:pPr>
      <w:r w:rsidRPr="00A4268A">
        <w:rPr>
          <w:rFonts w:eastAsia="Calibri"/>
        </w:rPr>
        <w:t>Staff communicate with residents and family members following any incident and this is recorded in the residents’ files.</w:t>
      </w:r>
    </w:p>
    <w:p w:rsidRPr="00A4268A">
      <w:pPr>
        <w:spacing w:before="240" w:line="276" w:lineRule="auto"/>
        <w:rPr>
          <w:rFonts w:eastAsia="Calibri"/>
        </w:rPr>
      </w:pPr>
      <w:r w:rsidRPr="00A4268A">
        <w:rPr>
          <w:rFonts w:eastAsia="Calibri"/>
        </w:rPr>
        <w:t>Residents, family and GP interviews confirmed that the environment is conducive to communication, including identification of any issues, and that staff are respectful of residents’ needs.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Te Mana.</w:t>
      </w:r>
    </w:p>
    <w:p w:rsidRPr="00A4268A">
      <w:pPr>
        <w:spacing w:before="240" w:line="276" w:lineRule="auto"/>
        <w:rPr>
          <w:rFonts w:eastAsia="Calibri"/>
        </w:rPr>
      </w:pPr>
      <w:r w:rsidRPr="00A4268A">
        <w:rPr>
          <w:rFonts w:eastAsia="Calibri"/>
        </w:rPr>
        <w:t xml:space="preserve">The facility has implemented the Oceania Healthcare Limited quality and risk management system that supports the provision of clinical care and quality improvement at the facility. Policies are reviewed. Monthly reports to the national support office allow for the monitoring of service delivery. </w:t>
      </w:r>
    </w:p>
    <w:p w:rsidRPr="00A4268A">
      <w:pPr>
        <w:spacing w:before="240" w:line="276" w:lineRule="auto"/>
        <w:rPr>
          <w:rFonts w:eastAsia="Calibri"/>
        </w:rPr>
      </w:pPr>
      <w:r w:rsidRPr="00A4268A">
        <w:rPr>
          <w:rFonts w:eastAsia="Calibri"/>
        </w:rPr>
        <w:t>Quality and risk performance is monitored through the organisation’s reporting systems. Benchmarking reports include but are not limited to: falls, infections, restraint, health and safety and complaints. An internal audit programme is implemented. Corrective action plans are documented with evidence of resolution of issues when these are identified. There is an electronic database to record risk in which risks and controls are clearly documented.</w:t>
      </w:r>
    </w:p>
    <w:p w:rsidRPr="00A4268A">
      <w:pPr>
        <w:spacing w:before="240" w:line="276" w:lineRule="auto"/>
        <w:rPr>
          <w:rFonts w:eastAsia="Calibri"/>
        </w:rPr>
      </w:pPr>
      <w:r w:rsidRPr="00A4268A">
        <w:rPr>
          <w:rFonts w:eastAsia="Calibri"/>
        </w:rPr>
        <w:t>The facility is managed by an appropriately qualified and experienced business and care manager and supported by a clinical manager who is responsible for the oversight of clinical service provision. The clinical manager is a registered nurse. The facility management team is supported by the regional clinical quality manager and the regional operations manager.</w:t>
      </w:r>
    </w:p>
    <w:p w:rsidRPr="00A4268A">
      <w:pPr>
        <w:spacing w:before="240" w:line="276" w:lineRule="auto"/>
        <w:rPr>
          <w:rFonts w:eastAsia="Calibri"/>
        </w:rPr>
      </w:pPr>
      <w:r w:rsidRPr="00A4268A">
        <w:rPr>
          <w:rFonts w:eastAsia="Calibri"/>
        </w:rPr>
        <w:t>Oceania Healthcare Limited human resource policies and procedures are implemented and newly recruited staff undertake orientation appropriate to their role. Practising certificates for staff who require them are validated annually. An annual training plan is implemented to ensure ongoing training and education for all staff members.</w:t>
      </w:r>
    </w:p>
    <w:p w:rsidRPr="00A4268A">
      <w:pPr>
        <w:spacing w:before="240" w:line="276" w:lineRule="auto"/>
        <w:rPr>
          <w:rFonts w:eastAsia="Calibri"/>
        </w:rPr>
      </w:pPr>
      <w:r w:rsidRPr="00A4268A">
        <w:rPr>
          <w:rFonts w:eastAsia="Calibri"/>
        </w:rPr>
        <w:t>A review of rosters and service delivery staff, and resident/family interviews confirmed that there is adequate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provision of care and documentation of each stage of service delivery. Residents’ records sampled demonstrated residents’ needs, outcomes and/or goals have been identified in assessments. Allied health input and a team approach were evident in the residents’ files reviewed. Short-term care plans are in place to manage short-term problems. The person centred care plans are reviewed every six months or earlier if required. Interviews confirmed residents and their families are informed and involved in care planning and the evaluation of care. Handovers guide continuity of care. The general practitioner reviews residents at least monthly unless the resident’s condition is documented as stable.</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Special consideration and additional activities are provided for younger people with disabilities. Residents are encouraged to maintain community links. There are regular entertainers, outings and celebrations.</w:t>
      </w:r>
    </w:p>
    <w:p w:rsidRPr="00A4268A" w:rsidP="00621629">
      <w:pPr>
        <w:spacing w:before="240" w:line="276" w:lineRule="auto"/>
        <w:rPr>
          <w:rFonts w:eastAsia="Calibri"/>
        </w:rPr>
      </w:pPr>
      <w:r w:rsidRPr="00A4268A">
        <w:rPr>
          <w:rFonts w:eastAsia="Calibri"/>
        </w:rPr>
        <w:t>Medicines management occurs according to documented policies and procedures, in alignment with legislative requirements and implemented using an electronic system. Medications are administered by registered nurses and senior health care assistants. Residents, including younger persons, are supported to self-administer medicines as appropriate. Medicines management competencies for staff who administer medicines are current.</w:t>
      </w:r>
    </w:p>
    <w:p w:rsidRPr="00A4268A" w:rsidP="00621629">
      <w:pPr>
        <w:spacing w:before="240" w:line="276" w:lineRule="auto"/>
        <w:rPr>
          <w:rFonts w:eastAsia="Calibri"/>
        </w:rPr>
      </w:pPr>
      <w:r w:rsidRPr="00A4268A">
        <w:rPr>
          <w:rFonts w:eastAsia="Calibri"/>
        </w:rPr>
        <w:t>The kitchen manager is responsible for food service provision. All meals are prepared on site. The food service meets nutritional requirements and individual dietary needs of the residents. The menu has been reviewed by a dietitian at organisational level. All kitchen staff had completed food safety training. Residents interviewed confirmed their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had not been any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clinical manager. Staff receive training in restraint minimisation and challenging behaviour management. On the day of audit, the service had five residents using restraint and two residents requesting the use of enablers.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infection surveillance is appropriate to the size and complexity of the service. The clinical manager is the infection control nurse. Infection data is collated, analysed, trended and benchmarked. Monthly surveillance data is reported to staff and to the Oceania Healthcare Limited support office. Review of surveillance records evidenced infection rates are low and infections are followed up when required. There have been no outbreaks since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2"/>
        <w:gridCol w:w="1280"/>
        <w:gridCol w:w="101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managing complaints. An up-to-date complaints register is in place that includes: the date the complaint is received; a description of the complaint; the investigation undertaken; resolution and the date the complaint is signed off. Evidence relating to each lodged complaint is held in the complaints folder and on a complaints register. The complaints reviewed indicated that complaints are investigated promptly and issues are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interviews confirmed that residents and family were encouraged to raise any concerns and provide feedback on services. Residents’ meeting minutes confirm that the complaints process is re-iterated at the meetings. Residents and family interviews confirmed that they were aware of a complaints process and that they could make a complaint. They stated that any issues raised had been dealt with effectively and efficiently. Residents and family interviews confirmed an understanding of their rights to advocacy and how to access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to ensure there is open disclosure of any adverse event where a resident has suffered any unintended harm while receiving care. Completed incident forms and residents’ records demonstrated that family are informed if the resident has an incident/accident; a change in health or a change in needs. Family and resident interviews by the consumer auditor confirmed that family are informed of any changes in resident status and that they are invited to the care planning meetings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Two monthly resident meetings inform residents of facility activities and provide an opportunity to: make suggestions; provide feedback; and to raise and discuss issues/concerns with management. These are advertised on the resident notice board and family are invited to attend the meetings. Minutes of the residents’ meetings sighted evidenced that a range of subjects are discussed. Residents and family have access to the minutes from these meetings and minutes are available in large print for ease of reading. Residents and family are also provided with copies of upcoming planned activities and menu. There is a monthly newsletter which includes events and updates such as, seasonal events, hairdresser appointment times. Interviews confirmed that the BCM and staff were readily available, approachable and responded promptly to any issues/concerns raised.</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the availability of interpreting services. It states that staff have access to a list of interpreting services and family may only interpret with a resident’s consent. The facility had implemented a process to facilitate effective communication with one resident with a communication impairment. At the time of the audit there was one resident for whom English was not their first language and there were two staff, as well as family members, who were able to assist with interpretation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Limited (Oceania) has a documented vision, mission and values statement which is displayed in entrance to the resident lounge/dining area and reflects a person centred approach to all residents, including young people with disabilities (YPD). These are communicated to residents, family and staff through the internet and information provided to new residents and families on admission. Staff also receive this information in annual training. In addition to the overarching Oceania business plan, the facility has specific business planning objectives that are included within their annual budget specific to Te Mana.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Oceania group with the executive management team providing support to the facility. Communication between the facility and executive management occurs monthly with the clinical and quality and operations managers providing support during the audit. The monthly reports from the facility provides the executive management team with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supported by a clinical manager (CM). The BCM has been in the role for one year and has completed the Oceania managers training. The BCM has previous administration experience within aged residential care. The CM has been working in the facility as a registered nurse (RN) for six years and has been in the CM role for two years. The CM holds a current annual practising certificate and is supported by the Oceania clinical and quality manager (CQM). The management team have completed appropriate induction and orientation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 Mana Home and Hospital can provide services for up to 46 residents. The facility is certified to provide rest home, hospital, and residential disability - physical services with 45 beds occupied at the time of the audit. Occupancy included: 9 residents requiring rest home level care; and 22 requiring hospital level care. In addition there were 14 residents classified under the chronic conditions – under 65 years YPD contract, including 5 who were assessed as requiring long-term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of the YPD residents had been assessed as having a physical/sensory disability and one with an intellectual disability.  Five of the YPD residents had been assessed as requiring rest home level care and nine as requiring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any occupational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utilises Oceania’s documented quality and risk management framework that is available to staff to guide service delivery. Policies are current and align with the Health and Disability Sector Standards and reflect accepted good practice guidelines. The Oceania management group reviews all policies with input from relevant personnel. New and revised policies are presented to staff at staff meetings and policy updates are also provided as part of relevant in-service education. New and revised policies are also made available on a notice board in the staff room and staff sign to confirm that that they have read and understood each new policy and/or update. Staff interviews confirmed that they are made aware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organisation’s reporting systems utilising a number of clinical indicators such as: complaints; falls; infections; wounds; urinary tract infections; incidents and accidents; medication errors and implementation of the internal audit programme. There is evidence that the annual internal audit programme is implemented as scheduled. Reports evidence that quality improvement data is being collected and collated with the identification of trends and analysis of data. Where required, corrective action plans are developed, implemented, evaluated and closed out. There is communication with all staff of any subsequent changes to procedures and practice through meetings and staff notices.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notified of updates through the facility’s residents’ meetings. Residents’ meeting minutes confirmed that YPD residents have the opportunity to have input into quality improvements and facility equipment. Interviews by the consumer auditor confirmed that YPD residents are satisfied that services meet their individual needs and that they have input into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staff meetings evidenced all aspects of quality improvement, risk management and clinical indicators are discussed. Staff interviews reported that they are kept informed of quality improvements. Copies of meeting minutes are available for review in the staff room and staff sign to confirm that they have read and understood these. Staff interviews and meeting attendance records confirmed that attendance at staff meetings was encouraged and facilitated.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residents and family are completed as part of the internal audit programme and these evidenced satisfaction with services provided. This was confirmed by resident and family interviews.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 There is a nominated health and safety representative for each staff group and interviews confirmed a clear understanding of the obligations of the role. Staff interviews confirmed an awareness of the process and responsibility to report hazards. There is evidence of hazard identification forms completed when a hazard is identified and that hazards are addressed and risks minimised. A current hazard register is available that is reviewed and updated annually or when a new hazard is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which require the facility to report and notify statutory authorities, including: unexpected deaths; police involvement; sentinel events; infectious disease outbreaks and changes in key management roles. These are reported to the appropriate authority via Oceania support office staff. Interviews confirmed that there had been no events that required reporting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review of documentation confirmed that staff document adverse, unplanned or untoward events on an accident/incident form which are signed off by the BCM.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they are encouraged to recognise and report errors or mistakes. Staff interviewed understood the adverse event reporting process and their obligation to document all untoward events. Staff records reviewed demonstrated that staff receive orientation and education on the incident and 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reporting forms are readily available. Incident reports selected for review evidenced that the resident’s family had been notified, an assessment had been conducted and observations completed. Corrective actions arising from incidents were implemented. There is evidence of a corresponding note in the resident progress notes and notification of the resident’s family member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are graphed, trends analysed and benchmarking of data occurring with other Oceania facilities. Accident/incidents are also discussed at quarterly regional cluster meetings. Specific learnings and results from accidents/incidents inform quality improvement processes and are regularly shared at monthly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police vetting; identification verification; a position specific job description;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that require them including: RNs, the pharmacists, general practitioner (GP), dietitian, and podiatrist.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It requires new staff to demonstrate competency on a number of tasks, including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role specific mandatory annual education and training module/schedule. There are systems and processes in place to ensure that all staff complete their required mandatory training modules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four other RNs have completed interRAI assessments training and competencies. Care staff complete annual competencies, for example: moving and handling; hoist use; hand washing; and infection control. Education session attendance records evidenced that ongoing education is provided relevant to the services delivered including services for YPD residents. Interviews and training records reviewed confirmed that all staff, including RNs undertake at least eight hours of relevant education and training hours per annum. An appraisal schedule is in place and all staff files reviewed for staff employed greater than one year, evidenced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The facility’s staffing rationale informs recruitment processes to ensure that sufficient suitable staff are appointed and available to meet the needs of all residents including those with non-acute medical conditions.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currently has 48 staff consisting of: a management team; RNs; health care assistants (HCA); activities coordinator; and household staff. Household staff include: kitchen and housekeeping staff who provide services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and skill mix policy and formula provide guidance to ensure safe staffing levels within the facility are sufficient to meet the needs of residents’ acuity and the minimum requirements of the DHB contract. Rosters are formulated two weeks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HCA, available to safely maintain the rosters for the provision of care. There is a pool of casual RNs, and HCAs available to supplement rosters when needed to accommodate increases in workloads and the acuity of residents such as additional hospital level residents. Rosters sighted reflected adequate staffing levels to meet current resident acuity and bed occupancy and demonstrated that there is at least one RN on each shift. </w:t>
            </w:r>
          </w:p>
          <w:p w:rsidR="00EB7645" w:rsidRPr="00BE00C7" w:rsidP="00BE00C7">
            <w:pPr>
              <w:pStyle w:val="OutcomeDescription"/>
              <w:spacing w:before="120" w:after="120"/>
              <w:rPr>
                <w:rFonts w:cs="Arial"/>
                <w:b w:val="0"/>
                <w:lang w:eastAsia="en-NZ"/>
              </w:rPr>
            </w:pPr>
            <w:r w:rsidRPr="00BE00C7">
              <w:rPr>
                <w:rFonts w:cs="Arial"/>
                <w:b w:val="0"/>
                <w:lang w:eastAsia="en-NZ"/>
              </w:rPr>
              <w:t>The BCM and CM are on call after hours,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family interviews stated that staffing is adequate to meet the residents’ needs.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and policies and procedures comply with medication legislation and guidelines. Medications are checked against the resident’s medication profile on arrival from the pharmacy by a RN. Any errors by the pharmacy are regarded as an incident and referred back to the pharmacy. Review of the medication area evidenced an appropriate and secure medicine dispensing system, free from heat, moisture and light, with medicines stored in original dispensed packs. The drug register is maintained and evidenced weekly checks and six-monthly physical stocktakes. </w:t>
            </w:r>
          </w:p>
          <w:p w:rsidR="00EB7645" w:rsidRPr="00BE00C7" w:rsidP="00BE00C7">
            <w:pPr>
              <w:pStyle w:val="OutcomeDescription"/>
              <w:spacing w:before="120" w:after="120"/>
              <w:rPr>
                <w:rFonts w:cs="Arial"/>
                <w:b w:val="0"/>
                <w:lang w:eastAsia="en-NZ"/>
              </w:rPr>
            </w:pPr>
            <w:r w:rsidRPr="00BE00C7">
              <w:rPr>
                <w:rFonts w:cs="Arial"/>
                <w:b w:val="0"/>
                <w:lang w:eastAsia="en-NZ"/>
              </w:rPr>
              <w:t>An electronic medication management system is used at the facility and meets the current legislative requirements and safe practice guidelines. Three-monthly medication reviews are conducted by the GP and any discontinued medicines are dated and signed by the GP. Medication administration observed met legislative requirements. Administration records are maintained. There is evidence outcomes are recorded for as required pain medication administered.</w:t>
            </w:r>
          </w:p>
          <w:p w:rsidR="00EB7645" w:rsidRPr="00BE00C7" w:rsidP="00BE00C7">
            <w:pPr>
              <w:pStyle w:val="OutcomeDescription"/>
              <w:spacing w:before="120" w:after="120"/>
              <w:rPr>
                <w:rFonts w:cs="Arial"/>
                <w:b w:val="0"/>
                <w:lang w:eastAsia="en-NZ"/>
              </w:rPr>
            </w:pPr>
            <w:r w:rsidRPr="00BE00C7">
              <w:rPr>
                <w:rFonts w:cs="Arial"/>
                <w:b w:val="0"/>
                <w:lang w:eastAsia="en-NZ"/>
              </w:rPr>
              <w:t>Staff attend annual medication education. Staff administering medicines, including RNs and senior HCAs, have completed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where medications are kept, has a weekly temperature check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standing orders is use at time of audit. There is a policy and process that describes self-administered medicines. Younger persons are supported to self-administer medicines where appropriate. There were no residents who were self-administering their medication at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oversees food provision at Te Mana. They are supported by two cooks and four kitchen assistants. Food services comply with current legislation and guidelines. A food control plan last reviewed in September 2018 is located in the kitchen. All kitchen staff have completed food safety certificates or relevant training. The four weekly seasonal menu has been reviewed by a dietitian annually at organisational level. All food is stored as required. A regular cleaning schedule is implemented. Refrigerator and freezer temperatures are maintained. 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Temperatures are taken of end cooked food and of food prior to serving. Meals are prepared and served to residents in the main dining room. A tray service is provided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profile is completed by the RN on admission, identifying the residents’ dietary requirements and preferences. There were current copies of the residents' dietary profiles located in the kitchen. Diets are modified as required. Interview with the CM and kitchen manager confirmed high protein drinks are supplied for those residents identified as being at risk of weight loss. Review of residents’ monitoring records confirmed residents weights are documented monthly and weights are stable. Observation at lunchtime confirmed those residents requiring extra support to eat and drink are assisted by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files sampled wound care plans, nutrition managements, skin integrity managements, medical specific plans, pain management and falls prevention plans were evident. There is evidence of referrals to specialist services such as: podiatry; physiotherapy; speech language therapist; dietitian and wound specialist nurses. The use of short-term care plans was evident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progress notes and observation charts are maintained. Family communication is recorded in the residents’ files. Files sampled evidenced at least six monthly care plan reviews were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supplies of products and equipment seen to be available that complied with best practice guidelines and met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provided is consistent with the needs of the residents. Staff interviews confirmed they are familiar with the needs of the residents they are allocated to. This was also evidenced by discussions with residents and families. The GP interviewed was complimentary about the quality of the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the activities coordinator and review of residents’ files confirmed an individual activities plan is developed for each resident. Residents have an activities assessment completed over the first few weeks after admission, obtaining a complete history of past and present interests, career and family. A memory lane booklet provides a profile and life journey for each resident. Files reviewed evidenced activities assessments and reviews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developed and implemented by the activities coordinator. The activities programme provides a range of planned activities to maintain residents’ strengths and interests which include the involvement of the community. Interview with the activities coordinator confirmed they conduct bi-monthly residents’ meetings and that younger residents were provided with time to plan activities of their choice. Review of meeting minutes indicated residents’ input is sought and responded to. Interviews with residents and families confirmed activities provided are meaningful to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younger persons’ with specific care plans including additional social activities and community links to meet their specific needs. On the day of audit, residents including younger persons, were observed being actively involved with a variety of activities in the main lounge. Some residents attend activities of interest in the community. The facility provides weekly van outings. There is a specific weekly van outing for younger residents to accommodate shopping, banking and other needs. Residents who prefer to stay in their room can have one-on-one visits including, for example, reading, hand massage and music.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attendances and participation in activities are monitored and activities monthly progress reports are entered in the residents’ clinical files. The activities coordinator interviewed stated that they participate in six monthly multidisciplinary meetings as part of the formal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interviewed reported satisfaction with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that RN evaluations were current and completed for all care plans sampled. Reviews include the degree of achievement towards meeting desired goals and outcomes. Resident care is evaluated on each shift and reported in the residents’ progress notes. If any change is noted it is reported to the RN or the CM. </w:t>
            </w:r>
          </w:p>
          <w:p w:rsidR="00EB7645" w:rsidRPr="00BE00C7" w:rsidP="00BE00C7">
            <w:pPr>
              <w:pStyle w:val="OutcomeDescription"/>
              <w:spacing w:before="120" w:after="120"/>
              <w:rPr>
                <w:rFonts w:cs="Arial"/>
                <w:b w:val="0"/>
                <w:lang w:eastAsia="en-NZ"/>
              </w:rPr>
            </w:pPr>
            <w:r w:rsidRPr="00BE00C7">
              <w:rPr>
                <w:rFonts w:cs="Arial"/>
                <w:b w:val="0"/>
                <w:lang w:eastAsia="en-NZ"/>
              </w:rPr>
              <w:t>A short-term care plan is initiated for short-term concerns, such as infections and wound care. 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current facility. There have been no building alterations to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surveillance policy describes the requirements for infection surveillance and includes the process for internal monitoring. Internal audits are completed. The CM is the infection control nurse (ICN). Infection data is collated monthly by the CM and is submitted to Oceania national support office where benchmarking is completed. This data is analysed for trends and reported at the monthly infection control meeting and at the monthly staff and quality meeting for all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CM confirmed there had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restraint minimisation and safe practice handbook and policies comply with legislative requirements. The restraint coordinator is the CM. A signed position description was sighted. The Oceania clinical and quality team are responsible for approving any form or type of restraint practice used at Oceania facilities nationally. Restraint is only used as last resort once all alternative strategies are considered. Enablers are voluntary and the least restrictive option is in use to maintain resident independence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maintained and current. There were five residents using restraint and two residents using enablers during the on-site audit days. The required documentation relating to restraint is recorded.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Te Mana Home &amp; Hospital</w:t>
    </w:r>
    <w:bookmarkEnd w:id="58"/>
    <w:r>
      <w:rPr>
        <w:rFonts w:cs="Arial"/>
        <w:sz w:val="16"/>
        <w:szCs w:val="20"/>
      </w:rPr>
      <w:tab/>
      <w:t xml:space="preserve">Date of Audit: </w:t>
    </w:r>
    <w:bookmarkStart w:id="59" w:name="AuditStartDate1"/>
    <w:r>
      <w:rPr>
        <w:rFonts w:cs="Arial"/>
        <w:sz w:val="16"/>
        <w:szCs w:val="20"/>
      </w:rPr>
      <w:t>27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