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Residential Management Limited - Terence Kennedy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Residential Management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Terence Kennedy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December 2018</w:t>
      </w:r>
      <w:bookmarkEnd w:id="7"/>
      <w:r w:rsidRPr="009418D4">
        <w:rPr>
          <w:rFonts w:cs="Arial"/>
        </w:rPr>
        <w:tab/>
        <w:t xml:space="preserve">End date: </w:t>
      </w:r>
      <w:bookmarkStart w:id="8" w:name="AuditEndDate"/>
      <w:r w:rsidR="00A4268A">
        <w:rPr>
          <w:rFonts w:cs="Arial"/>
        </w:rPr>
        <w:t>12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Terence Kennedy House provides rest home and hospital level care for up to 45 residents.  On the day of the audit there were 44 residents.  The service is managed by an experienced manager with support from the general manager and clinical coordinator.  The residents and relatives interviewed all spoke positively about the care and support provided.</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a general practitioner and staff.</w:t>
      </w:r>
    </w:p>
    <w:p w:rsidRPr="00A4268A">
      <w:pPr>
        <w:spacing w:before="240" w:line="276" w:lineRule="auto"/>
        <w:rPr>
          <w:rFonts w:eastAsia="Calibri"/>
        </w:rPr>
      </w:pPr>
      <w:r w:rsidRPr="00A4268A">
        <w:rPr>
          <w:rFonts w:eastAsia="Calibri"/>
        </w:rPr>
        <w:t>The service has addressed two of three previous shortfalls around corrective actions, and hot water temperatures.  There continues to be an improvement required around interventions.</w:t>
      </w:r>
    </w:p>
    <w:p w:rsidRPr="00A4268A">
      <w:pPr>
        <w:spacing w:before="240" w:line="276" w:lineRule="auto"/>
        <w:rPr>
          <w:rFonts w:eastAsia="Calibri"/>
        </w:rPr>
      </w:pPr>
      <w:r w:rsidRPr="00A4268A">
        <w:rPr>
          <w:rFonts w:eastAsia="Calibri"/>
        </w:rPr>
        <w:t xml:space="preserve">This audit has identified further areas requiring improvement around neurological and storage of chemicals.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Policies are implemented to support residents’ rights, communication and complaints management.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a quality planner.  Meetings are held to discuss quality and risk management processes.  Residents/family meetings have been held and residents and families are surveyed regularly.  Health and safety policies, systems and processes are implemented to manage risk.  Incidents and accidents are reported and link to the quality system.  A comprehensive education and training programme has been implemented with a current training plan in place.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reviewed demonstrated service integration and are evaluated at least six-monthly.  Resident files included medical notes by the contracted general practitioner, nurse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guidelines.  Medication charts are reviewed three-monthly by the general practitioner. </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There is sufficient space to allow the movement of residents around the facility using mobility aids.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Terrence Kennedy House has restraint minimisation and safe practice policies and procedures in place.  Staff receive training in restraint minimisation and challenging behaviour management.  On the day of audit, there were two residents with restraint and five residents with an enabler.  Restraint management processes are adhered to.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 surveillance programme is documented and undertaken, and this is appropriate to the size and complexity of the service.  Results of surveillance are acted upon, evaluated and reported to relevant personnel in a timely manner.  There have been no outbreaks since the previous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65"/>
        <w:gridCol w:w="1280"/>
        <w:gridCol w:w="98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complaints process.  There are complaint forms available.  Information about complaints is provided on admission.  Interviews with residents demonstrated an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Staff were interviewed around their knowledge of the complaints process.  These included five healthcare assistants, a registered nurse.  clinical coordinator, physiotherapist, hospital manager, general manager, activities coordinator, laundry assistant, cook and nurse practitioner.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Verbal and written complaints are documented.  Two complaints managed by the hospital manager were reviewed and all have been resolved in a timely manner as per the policy with confirmation from the complainant that they were happy with the outcome.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four complaints from external authorities (district health board and Health and Disability Commission) that have been raised since the previous audit and one that was raised by an external authority prior to the previous audit, but with actions still ongoing during the timeframe to the current audit.  Four of the five have been closed by the external authority with written confirmation of this sighted.  One has been addressed within timeframes requested, however the external authority has asked for some additional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that any issues are addressed, and they feel comfortable to bring up any concerns.  Three interviewed stated that they had raised a concern, and all noted that these had been addressed promptly to their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are documented to guide effective communication with residents and family.  These include the incident, complaints and open disclosure policies and procedures.  The clinical coordinator, the hospital manager or registered nurses notify family/next of kin of any accident/incident and ensure full and frank open disclosure occurs.  Fifteen incidents/accidents forms were reviewed.  The forms included a section to record family notification.  All forms indicated family were informed.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(three with family requiring hospital level care) confirmed that they are notified of any changes in their family member’s health status.  They also stated they were welcomed on entry and were given time and explanation about the services and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(eight interviewed including one from the hospital who is identified as being under 65 years of age, and two from the rest home) stated that they received information around their care from the registered nurses and were kept informed of any changes in the service through the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Terence Kennedy House is a facility located in West Auckland that provides 45 dual-purpose rest home and hospital level beds.  On the day of the audit there were 44 residents including eight residents requiring rest home level care and 36 requiring hospital level care.  Two of the hospital residents are identified as under 65 years of age – one under a young person with a disability and one under a contract for long-term chronic care.  Two of the hospital residents have been admitted under an Accident Compensation Corporation contract.  There were no residents requiring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business plan is in place for 2018 with one also developed for 2019.  These are reviewed at regular intervals throughout the year by the management team.  A mission, philosophy and objectives are documented for the service.  The manager completes a weekly report for the general manager and then meets at least weekly to review the day-to-day operations and to review progress towards meeting the business objectives.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manager has 30 years of management experience in the aged care sector and has been in the role for two years.  The hospital manager has extensive experience in management in other facilities and has a Diploma of Business.  The hospital manager is supported by a clinical coordinator who is a registered nurse.  The clinical coordinator has been in the role for seven months and has been in the aged care sector for two years.  The hospital manager is also supported by a non-clinical general manager (one of three directors) who also provides support for a sister site.  The hospital manager has maintained a minimum of eight hours of professional development relating to managing an aged care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This includes a quality and safety plan for the service with goals focused on enhancing patient safety, improving systems and processes, improving resident and family engagement and optimising the resident experience.  Interviews with the general manager, hospital manager and staff, indicated that there is a sound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Policies are purchased from an external consultant with these reviewed in 2018.  Policies and procedures have been updated to include reference to interRAI, health and safety and pressure injury management.  New policies or changes to policy are communicated to staff, evidenced in meeting minutes.  Staff are expected to sign that they have read the new/revised policies.  A document control system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management systems are in place including: internal audits; incident and accident reporting; health and safety reporting; infection control data; and complaints management.  Data is being collected monthly and is consistently communicated to staff through meetings.  Meetings held include the following: monthly staff meetings that includes discussion of all aspects of the quality programme; quality review meeting that includes the general manager, hospital coordinators (from this and a sister site) two to three monthly; a management meeting that includes the hospital managers, general manager, operations manager, legal counsel and village manager monthly; two weekly registered nurse meetings facilitated by the clinical coordinator and monthly resident meetings. </w:t>
            </w:r>
          </w:p>
          <w:p w:rsidR="00EB7645" w:rsidRPr="00BE00C7" w:rsidP="00BE00C7">
            <w:pPr>
              <w:pStyle w:val="OutcomeDescription"/>
              <w:spacing w:before="120" w:after="120"/>
              <w:rPr>
                <w:rFonts w:cs="Arial"/>
                <w:b w:val="0"/>
                <w:lang w:eastAsia="en-NZ"/>
              </w:rPr>
            </w:pPr>
            <w:r w:rsidRPr="00BE00C7">
              <w:rPr>
                <w:rFonts w:cs="Arial"/>
                <w:b w:val="0"/>
                <w:lang w:eastAsia="en-NZ"/>
              </w:rPr>
              <w:t>Corrective actions are consistently documented, reviewed and communicated to staff with evidence of resolution documented.  Results of internal audits are now communicated to staff through meetings with evidence of discussion.  The corrective action identified at the previous audit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that meets current legislative requirements.  An interview with the hospital manager and review of health and safety documentation confirmed that legislative requirements are being met.  External contractors have been orientated to the facility’s health and safety programme.  The hazard register is regularly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hospital manager investigates accidents and near misses and analysis of incident trends occurs.  There is a discussion of incidents/accidents at monthly staff meetings.  A registered nurse conducts clinical follow-up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incident forms sampled from October 2018, included review of the incident by the clinical coordinator, however not all neurological observations were completed for a significant length of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general manager, hospital manager and clinical coordinator confirmed that there is an awareness of the requirement to notify relevant authorities in relation to essential notifications.  Section 31 forms have been completed for pressure injuries and for the appointment of the new clinical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and managers are aware of how the policies are to be implemented.  Annual practicing certificates are in place for all health professionals including registered nurses, the nurse practitioner, pharmacy staff, dietitian, physiotherapist and podiatrist.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Nine staff files were reviewed (hospital manager, one clinical manager, two registered nurses, one activities coordinator, one cook, one laundry assistant, and two healthcare assistants) and all evidenced that reference checks are completed before employment is offered.  Each staff member has a signed contract with evidence of criminal vetting for new staff who have been employed in the last two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in place that provides new staff with relevant information for safe work practice.  This includes a buddy system with two new staff confirming that the programme is comprehensive and includes reading of policies. </w:t>
            </w:r>
          </w:p>
          <w:p w:rsidR="00EB7645" w:rsidRPr="00BE00C7" w:rsidP="00BE00C7">
            <w:pPr>
              <w:pStyle w:val="OutcomeDescription"/>
              <w:spacing w:before="120" w:after="120"/>
              <w:rPr>
                <w:rFonts w:cs="Arial"/>
                <w:b w:val="0"/>
                <w:lang w:eastAsia="en-NZ"/>
              </w:rPr>
            </w:pPr>
            <w:r w:rsidRPr="00BE00C7">
              <w:rPr>
                <w:rFonts w:cs="Arial"/>
                <w:b w:val="0"/>
                <w:lang w:eastAsia="en-NZ"/>
              </w:rPr>
              <w:t>The in-service education programme for 2018 is implemented, with attendance records maintained and a spreadsheet of staff training updated by the hospital manager.  The clinical coordinator and registered nurses can attend external training, including sessions provided by the local district health board.  Seven of the eight registered nurses, including the clinical coordinator have completed interRAI training.  Nine healthcare assistants have completed level three training, and Careerforce.  Annual staff appraisals are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includes a staffing rationale and skill mix.  Sufficient staff are rostered to manage the care requirements of the residents with all care staff interviewed confirming that there are adequate staff on each shift.  The hospital manager is on-site five days a week and is on call after hours.  The general manager also visits the facility at least once a week and is available to provide support at any time.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clinical coordinator and a registered nurse on a morning shift and one registered nurse on an afternoon and night shift.  Numbers of registered nurses can be increased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healthcare assistants (three long shift) on a morning roster and five healthcare assistants on an afternoon shift (two long shift).  There are two healthcare assistants overnight.  Extra staff can be called in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Activities staff are rostered on six days per week.  There are separate domestic staff that are responsible for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residents and family members confirmed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is currently one resident self-medicating and they have a competency completed to confirm that they are competent to self-administer medications.  Staff described daily checks to ensure that they have taken their medicines.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checked on arrival and any pharmacy errors are recorded and fed back to the supplying pharmacy.  Registered nurses and some senior healthcare assistants administer medications.  Staff attend annual education around medication.  Medication competencies are completed annually and were completed in 2018 around the implementation of medimap.   There are standing orders, and these meet legal requirements with review of these completed annually by the NP.  The medication fridge temperature is checked daily, and temperatures are within appropriate range as per policy.  All medication is stored securely.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medication administration sheets with this including signing by two staff of any administration of controlled drugs.  Controlled drugs are kept in a locked safe in a locked room.  Balances checked match those recorded in the register.  The clinical coordinator has reinstated weekly checks of controlled drugs as this had lapsed while they were on leave.  Medications were checked and there was no expired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Medications are reviewed at least three-monthly by the NP.  All medication charts include a photo ID and allergy status.  ‘As required’ medications have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Terrence Kennedy House are prepared and cooked on-site.  There is a four-weekly seasonal menu which has been reviewed by a dietitian within the last two years.  Meals are plated in the kitchen and then served in the two dining rooms.  End cooked meals and fridge and freezer temperatures are recorded.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Dietary needs are known with individual likes and dislikes accommodated.  Cultural and religious food preferences are met.  There is a system to identify residents who require monitoring of food intake.  Specialised crockery and utensils are available to help promote independence at meal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enjoying their lunch in one dining room and a healthcare assistant was observed assisting a resident to eat in another.  Residents’ meetings allow for the opportunity for resident feedback on the meals and food services.  Residents are complimentary of the food and confirmed that alternative food choices are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who work in the kitchen have completed food safety and hygiene and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Overall, care plans reviewed were resident-centred.  Two of five care plans document interventions for each resident as per individual needs.  The previous shortfall around interventions continue to be an area for improvement.  Residents interviewed stated they are involved in the care planning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 use for changes in health status and have been evaluated on a regular basis and signed off as resolved or transferred to the long-term care plan as needed.  There is evidence of service integration with documented input from a range of specialist care professionals including the podiatrist, physiotherapist, dietitian and Mental Health Care Team for Older People.  The care staff interviewed advised that the care plans are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are in place for all residents.  When a resident’s condition changes, the RN will initiate a NP consultation.  The NP interviewed, confirmed that this occurs in a timely manner.  The clinical coordinator and registered nurses stated that they notify family members about any changes in their relative’s health status.  Care staff interviewed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wounds including the three pressure injuries (for one resident with one stage three and the others unstageable) were reviewed.  The wound specialist from the district health board has reviewed the pressure injuries and advice has been implemented.  Wound assessment, wound management and evaluation forms are available for all wounds.  Wound monitoring occurred as planned.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Behaviour charts are available for any residents that exhibit challenging behaviour with these completed well on the day of audit.  There are gaps in documentation of turns on the turning charts and an improvement is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activities coordinators who work six days a week for at least five and a half hours a day.  There is a monthly large print programme on the noticeboard.  Residents have the choice of a variety of activities in which to participate.  These include exercises, games, crafts, painting, pet therapy and quizzes.  On the days of audit, residents were observed taking part in exercises.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have one-on-one visits to check if there is anything they need and to have a chat.  The activities coordinator may take the residents books, puzzles or crosswords.  A volunteer assists the activities coordinator with one-on-one visits.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fortnightly church services by the Salvation Army and an interdenominational group.  Volunteers from the local Catholic Church come weekly to give communion.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the village van for weekly outings.  Every Thursday, a local playgroup visits.  There are also regular entertainers visiting the facility.  Special events such as birthdays, Easter, Mothers’ Day and Anzac Day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resident meeting monthly and an annual residents’ satisfaction survey.  This includes feedback on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six-monthly (link 1.3.3.3).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long-term care plans reviewed had been evaluated by the registered nurses six-monthly.  Long term care plan evaluations are documented and reflect resident progress.  Short term needs had been evaluated and signed off as resolved or added to the long-term care plan as an ongoing problem.  Activities plans are in place for each resident and these are also evaluated six-monthly.  The multidisciplinary review involves the RN, GP and resident/family if they wish to attend.  There is at least a three-monthly review by the GP for rest home residents and one-monthly for hospital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The person responsible for the village maintenance also oversees the reactive and planned maintenance programme for the care facility.  All medical and electrical equipment has been recently serviced and/or calibrated.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are monitored, and all water temperatures in resident areas are below 45 degrees Celsius.  The corrective action identified at the previous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sufficient space for residents to mobilise using mobility aids.  External areas are well maintained.  Residents have access to safely designed external areas that have shade.  Staff stated they have sufficient equipment to safely deliver the cares as outlined in the resident care plans.  Chemicals are not always locked away.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staff meetings.  If there is an emergent issue, it is acted upon in a timely manner.  Reports are easily accessible to the facility manager.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Two hospital residents were using restraint (bedrails) and five hospital residents were using enablers (bedrails) on the day of audit.  Assessments are completed, and written consent is provided by the five residents using enablers.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their understanding of the differences between a restraint and an enabler.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training around restraint minimisation and the management of challenging behaviour that begins during their induction to the service.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91"/>
        <w:gridCol w:w="1280"/>
        <w:gridCol w:w="4119"/>
        <w:gridCol w:w="5000"/>
        <w:gridCol w:w="15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are completed by staff when an incident has occurred.  Care staff interviewed can describe when they should be writing an incident form and can confirm how incidents are escalated to registered nurses, the clinical coordinator and/or to the hospital manager.  The clinical coordinator is aware of and able to describe their responsibilities in reviewing and signing off incident forms.  Discussion around incidents is evidenced in relevant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aware of their obligations around completion of neurological observations if there is an unwitnessed fall or head injury for example.  Of the fifteen incident forms reviewed, eight were for an unwitnessed fall.  All had neurological observations completed, however for seven of the eight incidents, these were only for a short period (ie, for one to three observations only).  The policy does indicate length of time for observations to be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Neurological observations are not occurring for a sufficient length of time to determine clinical issues.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 neurological observations for a sufficient length of time that enables any change in state to be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gap in the past when interRAI assessments have not been completed in a timely manner.  The new clinical coordinator has completed the interRAI assessments for residents, however these have been completed after the review of the care plan.  The assessment has therefore not been used to inform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is completing an assessment and activities plan; however, these are not coordinated to be completed in line with the interRAI and review of the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(i)InterRAI assessments are being completed after the review of the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Activities assessments, plans and review are not completed in line with the interRAI and review of care planning.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(i)Ensure that interRAI assessments are completed prior to the review of the care plan. </w:t>
            </w:r>
          </w:p>
          <w:p w:rsidR="00EB7645" w:rsidRPr="00BE00C7" w:rsidP="00BE00C7">
            <w:pPr>
              <w:pStyle w:val="OutcomeDescription"/>
              <w:spacing w:before="120" w:after="120"/>
              <w:rPr>
                <w:rFonts w:cs="Arial"/>
                <w:b w:val="0"/>
                <w:lang w:eastAsia="en-NZ"/>
              </w:rPr>
            </w:pPr>
            <w:r w:rsidRPr="00BE00C7">
              <w:rPr>
                <w:rFonts w:cs="Arial"/>
                <w:b w:val="0"/>
                <w:lang w:eastAsia="en-NZ"/>
              </w:rPr>
              <w:t>(ii) Complete activities assessments, plans and review in line with the interRAI and review of care planning.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five care plans reviewed included interventions to support all current assessed needs.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of five care plans reviewed did not have all interventions fully documented to support all assessed need; (i) one resident with a pressure injury and wounds.  However, the care plan did not have any interventions to support wound management and responsibilities of caregivers.  (ii) the care plan for one resident who returned from hospital the day before on palliative care had not been updated; (iii) one resident with fragile skin and current wounds did not have interventions in the care plan to reflect this including links to the wound management plans.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interventions are documented or updated to support all current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forms in place to monitor interventions.  Most, including the wound management and behavioural records, are well documented.  The turning charts do not indicate that turns have been given two hourly or as required and there were three charts on the day that stated that the resident had been turned, however the resident was observed to be in the same position, noting that the residents were not able to turn themselves.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Turns (changing resident position) are not always completed two hourly.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residents requiring turning at regular intervals are turned with documentation reflecting this.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cupboards that have chemicals in them and these are not able to be locked.  There was also a dressing trolley on the day of audit that was stated as being left out with some cleaning solution on it.  This was put away on the day of audit.  The cleaners trolley was left unattended on two occasions with cleaning fluid left on it.  There are residents identified in the facility as having a diagnosis of dementia.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Some chemicals are noted to be not locked away at all times.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chemicals are locked away or fully supervised when in use.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Residential Management Limited - Terence Kennedy House</w:t>
    </w:r>
    <w:bookmarkEnd w:id="58"/>
    <w:r>
      <w:rPr>
        <w:rFonts w:cs="Arial"/>
        <w:sz w:val="16"/>
        <w:szCs w:val="20"/>
      </w:rPr>
      <w:tab/>
      <w:t xml:space="preserve">Date of Audit: </w:t>
    </w:r>
    <w:bookmarkStart w:id="59" w:name="AuditStartDate1"/>
    <w:r>
      <w:rPr>
        <w:rFonts w:cs="Arial"/>
        <w:sz w:val="16"/>
        <w:szCs w:val="20"/>
      </w:rPr>
      <w:t>11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