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Wigram</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Wigram</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December 2018</w:t>
      </w:r>
      <w:bookmarkEnd w:id="7"/>
      <w:r w:rsidRPr="009418D4">
        <w:rPr>
          <w:rFonts w:cs="Arial"/>
        </w:rPr>
        <w:tab/>
        <w:t xml:space="preserve">End date: </w:t>
      </w:r>
      <w:bookmarkStart w:id="8" w:name="AuditEndDate"/>
      <w:r w:rsidR="00A4268A">
        <w:rPr>
          <w:rFonts w:cs="Arial"/>
        </w:rPr>
        <w:t>13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at Wigram provides rest home and hospital (geriatric and medical) level care for up to 52 residents in the care centre and for up to 53 residents at rest home level of care in the serviced apartments.  On the day of the audit there were 55 residents in total.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family members, staff, management and the general practitioner.  </w:t>
      </w:r>
    </w:p>
    <w:p w:rsidRPr="00A4268A">
      <w:pPr>
        <w:spacing w:before="240" w:line="276" w:lineRule="auto"/>
        <w:rPr>
          <w:rFonts w:eastAsia="Calibri"/>
        </w:rPr>
      </w:pPr>
      <w:r w:rsidRPr="00A4268A">
        <w:rPr>
          <w:rFonts w:eastAsia="Calibri"/>
        </w:rPr>
        <w:t>The village manager is appropriately qualified and experienced and is supported by an experienced care centre manager who oversees the care centre.  The residents and relatives interviewed spoke positively about the care and support provided.</w:t>
      </w:r>
    </w:p>
    <w:p w:rsidRPr="00A4268A">
      <w:pPr>
        <w:spacing w:before="240" w:line="276" w:lineRule="auto"/>
        <w:rPr>
          <w:rFonts w:eastAsia="Calibri"/>
        </w:rPr>
      </w:pPr>
      <w:r w:rsidRPr="00A4268A">
        <w:rPr>
          <w:rFonts w:eastAsia="Calibri"/>
        </w:rPr>
        <w:t>The four previous findings regarding care plans, medication, restraint assessments and monitoring have been addressed.</w:t>
      </w:r>
    </w:p>
    <w:p w:rsidRPr="00A4268A">
      <w:pPr>
        <w:spacing w:before="240" w:line="276" w:lineRule="auto"/>
        <w:rPr>
          <w:rFonts w:eastAsia="Calibri"/>
        </w:rPr>
      </w:pPr>
      <w:r w:rsidRPr="00A4268A">
        <w:rPr>
          <w:rFonts w:eastAsia="Calibri"/>
        </w:rPr>
        <w:t xml:space="preserve">There were no new findings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well informed including of changes in residents’ health.  Residents’/family meetings are held monthly.  Management have an open-door policy.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has been embedded and includes a philosophy, goals and a quality planner.  Meetings are held to discuss quality and risk management processes and quality data.  There is a health and safety management programme available to guide staff.  Incidents and accidents are reported.  There are human resources policies to support recruitment practices.  The service has an orientation programme in place that provides new staff with relevant information for safe work practice.  An education and training programme have been completed for 2018.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Assessments, resident care plans, and evaluations were completed by the registered nurses within the required timeframes.  Risk assessment tools and monitoring forms were available and implemented.  Resident care plans were individualised and included allied health professional involvement in resident care.  </w:t>
      </w:r>
    </w:p>
    <w:p w:rsidRPr="00A4268A" w:rsidP="00621629">
      <w:pPr>
        <w:spacing w:before="240" w:line="276" w:lineRule="auto"/>
        <w:rPr>
          <w:rFonts w:eastAsia="Calibri"/>
        </w:rPr>
      </w:pPr>
      <w:r w:rsidRPr="00A4268A">
        <w:rPr>
          <w:rFonts w:eastAsia="Calibri"/>
        </w:rPr>
        <w:t xml:space="preserve">Recreational therapists coordinate an integrated activity programme that meets the individual recreational needs and preferences of the resident groups.  There are outings into the community and visiting guests/entertainers.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are in place to guide staff in the use of an approved enabler and/or restraint.  On the day of audit, there was one resident with a restraint and three residents using an enabler.  Staff training has been provided around restraint minimisation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These included audits of the facility, hand hygiene and surveillance of infection control events and infections.  The service engages in benchmarking with other Summerset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A complaints procedure is provided to residents within the information pack at entry.  Feedback forms are available for residents/relatives in various places around the facility.  There is an electronic complaints’ register that includes relevant information regarding the complaint including investigation and resolution.  There have been six care centre complaints received since the last audit.  The complaints have been acknowledged and followed up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(three rest home and one hospital level) and two relatives (of hospital level residents) interviewed, confirmed they were given an explanation about the services and procedures.  There are monthly resident meetings and quarterly advocate meetings where all services are discussed, and residents have the opportunity to provide feedback and suggestions on services and care.  Residents and relative receive a monthly newsletter.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process around open disclosure alerts staff to their responsibility to notify family/next of kin of any accident/incident.  Seven incidents/accident forms for October 2018 were reviewed in the resident electronic register.  All forms evidenced family were informed or if family did not wish to be informed.  Relatives interviewed confirmed that they are notified of any changes in their family member’s health status.  An interpreter policy and contact details of interpreters is available.  Interpreter services are used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Wigram provides rest home and hospital level of care for up to 52 residents in the care centre (first level) and up to 53 residents at rest home level of care (20 on the ground floor and 33 on the second level).  On the day of the audit, there were 46 residents in the care centre.  There were 15 rest home and 31 hospital level residents (including four on an end of life contract and one rest home respite care).  There were eight rest home level residents and one rest home respite care in the serviced apartments.  All other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is supported by this structure.  The Summerset group has a comprehensive suite of policies and procedures, which will guide staff in the provision of care and services.  The Summerset Group Limited Board of Directors have overall financial and governance responsibility and there is a company strategic business plan in place.  Summerset at Wigram has a site-specific 2018 business plan and goals that is developed in consultation with the village manager, care centre manager and regional operations manager.  The business plan has been reviewed quarterly with the management team.  Specific goals around communication, resident care, health and safety, food services and activities have been achieved with 100% resident/relative satisfaction in the 2018 survey.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village manager who has been in the role for two years when the main building opened.  He had previously been in management roles for other Summerset villages.  The village manager reports weekly to the regional manager who is on-site monthly.  The village manager is supported by an experienced care centre manager (RN) who has been in the role since July 2016.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attended at least eight hours of leadership professional development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Wigram have an established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The content of policy and procedures are detailed to allow effective implementation by staff.  Policies are reviewed on a regular basis at head office.  The Summerset group has a ‘clinical audit, training and compliance’ calendar.  The calendar schedules the training and audit requirements for the month and the care centre manager forwards a monthly report to head office as part of the ongoing monitoring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residents/relatives survey for 2017 and September 2018 resulted in an overall satisfaction rate of 99.3%.  Summerset at Wigram rates above the overall satisfaction rate for all of Summerset villages at 95.4%.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(but not limited to): monthly quality improvement; full facility meetings monthly; and monthly registered staff and enrolled nurse meetings that include discussion about clinical indicators (eg, incident trends, infection rates, complaints).  Caregiver meetings have been re-established following the outcome of a staff survey.  Health and safety, infection control and restraint meetings have occurred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audit programme that includes (but not limited to) aspects of clinical care.  Issues arising from internal audits are developed into corrective action plans and there are re-audits as required.  Monthly and annual analysis of results is completed and provided across the organisation.  There are monthly accident/incident benchmarking reports completed by the care centre manager that break down the data collected across the rest home and hospital, and staff incidents/accidents.  Infection control is also included as part of benchmarking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Summersets clinical and quality manager analyses data collected via the monthly reports and corrective actions are required based on benchmarking outcomes.  There is a health and safety and risk management programme in place including policies to guide practice.  The village manager has completed the first health and safety (H&amp;S) representative course in October 2018.  The property manager is the health and safety representative (interviewed) who has completed the three H&amp;S courses and site safety certificate.  The Health and Safety Committee comprise of a H&amp;S representative from each department and meet monthly to review incidents and hazards and H&amp;S objectives.  One of the 2018 H&amp;S objective was to reduce the number of shoulder and lower back strains.  The clinical team complete pre-shift stretches as observed on the day of audit.  While there has been a reduction in staff incidents, the data is yet to be formally evaluated.  The hazard register has been reviewed June 2018 by the H&amp;S Committee.  The committee is supported by the national H&amp;S Committee at head office.  Each month there is a health and safety “golden rule” focus and staff are provided with resources and education that is available on the H&amp;S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The service has appointed an RN falls prevention coordinator July 2017.  She reviews all falls incidents, trends and analysis of time, location and resident’s health status.  The Falls Committee of two morning, two afternoon and two night shift care staff have commenced monthly meetings.  The falls prevention coordinator liaises with the physiotherapist who completes initial assessments for all residents and involved in post falls assessments and recommendations.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A review of seven incident/accident forms (electronic) for October 2018 identified they were all fully completed, including a timely assessment and follow up by a RN and relative notification.  Post falls assessments included neurological observations for four unwitnessed falls with potential head injury were reviewed.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There has been one section 31 notification completed since the last audit for absconding.  Appropriate interventions were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(one care centre manager, one RN, one clinical nurse leader, two caregivers and one recreational therapist/caregiver) were reviewed and all had relevant documentation relating to employment.  There were current annual practising certificates for all qualified staff and allied health professionals.  Performance appraisals have been completed annually.  The service has an orientation programme in place that provides new staff with relevant information for safe work practice.  Staff interviewed were able to describe the orientation process and believed new staff were orientated well to the service.  One senior caregiver is a caregiver coach supporting new care staff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education plan covering mandatory education and training and additional in-service has been completed for 2018 with good attendance numbers.  A competency programme is in place with different requirements according to work type (eg, caregivers, RNs and kitchen).  Core competencies are completed, and a record of completion is maintained.  The service has six of eleven RNs (including the care centre manager and clinical nurse leader) trained in interRAI.  Staff interviewed were aware of the requirement to complete competency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work 40 hours per week, Monday to Friday and are available on-call for any emergency issues or clinical support.  In the care centre, there is an RN on duty 24/7 and an enrolled nurse on five mornings and four afternoon shifts per week.  There are eight caregivers on morning shifts (four full shifts and full short shifts).  There are six caregivers on the afternoon shifts (four full shifts and two short shifts) and two caregivers on night shifts.  The RN on duty provides oversight to the rest home residents in the serviced apartments.  There is one caregiver on duty 24 hours for the rest home residents in the serviced apartments (four permanent residents and one respite care on the ground level and four permanent residents on the second level).</w:t>
              <w:br/>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that staffing levels are sufficient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are responsible for the administration of medications and have completed medication competencies (including syringe driver) and annual medication education.  Caregivers complete medication competencies for the checking and witnessing of medications as required.  All medications (for the care centre and serviced apartment rest home residents) are stored safely in the one main medication room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Regular medications are delivered in robotic rolls and were evidenced to be checked on delivery with any discrepancies fed back to the supplying pharmacy.  There was one self-medicating resident who had a current self-medication assessment, medications stored in locked drawer and monitoring completed as required.  The medication chart identified the self-administering medications.  The previous finding around self-administering has been addressed.  All eye drops sighted in the two trolleys had been dated on opening.  The medication fridge is monitored daily with corrective actions recorded for unacceptable temperatures.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on the electronic medication system were reviewed.  Corresponding medication administration sheets including the respite resident evidenced medications were administered as prescribed.  The previous finding around administration of medications has been addressed.  The medication charts had photograph identification and allergy status recorded.  Staff recorded the time, date and effectiveness of ‘as required’ medications.  All ‘as required’ medications had an indication for use.  All medication charts had been reviewed by the GP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and the café.  The service has a food control plan that has been verified for 18 months and expires August 2019.  The seasonal 12-weekly menu has been reviewed by the contracted dietitian.  The menu meets the resident preferences and resident dietary requirements including dislikes.  The main meal is in the evening.  Meals are delivered in a hot box to the care centre kitchenette where meals are served from the bain marie.  The chef serves the meals at least twice-weekly.  The chef receives a dietary profile for each resident and notified of any changes including weight loss and provides smoothies and added calories such as cream/ice-cream to foods.  Gluten free meals and pureed foods are provided.  Care staff were observed to be assisting residents with their meals in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chiller temperatures are taken and recorded twice-daily.  End-cooked food temperatures and serving temperatures are taken and recorded.  All foods are stored correctly, and date labelled.  Cleaning schedules are maintained.  Staff were observed wearing correct personal protective clothing.  Staff working in the kitchen have completed food safety September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feedback on meals through direct feedback and resident meetings.  Residents and relatives commented positively on the food services and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on the electronic resident care system described the individual support and interventions required to meet the resident’s goals.  The initial support care plans for all residents and long-term care plans for long-term residents reflected the outcomes of risk assessment tools and interRAI assessments.  The initial support plan for the rest home respite care resident reflected the outcomes of the initial assessment including supports required for high falls risk and pain management.  The previous finding around documented interventions to meet the residents needs/goals has been addressed.  Short-term care plans are used for changes to health and were sighted in use for wounds, weight management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resident/family/whānau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stated their relative’s needs are being met and they are kept informed of any health changes.  There was documented evidence in the electronic resident progress notes of family notification of any changes to health including; infections; accidents/incidents; medication changes; GP visits; and family meetings.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viewed in V-care for 8 of 13 wounds.  Short-term care plans were in place for wounds.  One chronic wound was linked to the long-term care plan.  There were no pressure injuries.  There is wound nurse specialist advice and support available at the DHB.  Adequate pressure injury resources are available and were observed to be in place for residents assessed at high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completed on the electronic resident system.  Work logs entered onto the system alert staff of monitoring requirements and these are signed off as completed.  Registered nurses review the monitoring charts, which include: pain monitoring; neurological observations; bowel monitoring; re-positioning charts; restraint monitoring; food and fluid intake monitoring; and weights.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recreational therapists (RT) who are qualified diversional therapists to coordinate and implement the integrated rest home/hospital activity programme over seven days.  The programme is resident driven, flexible and planned with feedback and suggestions from the resident monthly meetings.  All residents (including those in the serviced apartments) receive an activity programme.  Rest home residents may attend the care centre or serviced apartment activity programme.  Volunteers (including village residents) assist with housie, outings, one-on-one resident activities, walks, hand and nail cares.  The RTs make daily contact with residents who choose not to join in with activities.  Other activities included in the programme are: board games; quizzes; baking; walks; movies; news reading; reminiscing; cards; happy hour; arts and crafts; exercises with the physio; Tai Chi; book club; and knitter-knatter group.  Events and themes are celebrated with resident and staff participation such as Melbourne Cup and Christmas.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pre-school children, entertainers, church groups and pet therapy visits.  There are regular outings into the community for events and functions such as vintage car drives and raising funds for Alzheimer’s, scenic drives and visits to cafes.  A mobility van is hired for hospital level residents unable to access the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recreational assessment and activity plan in place for all long-term resident files reviewed.  The RTs are involved in the MDT six-monthly review of the resident’s care plan and activity plan.  The residents and relatives interviewed expressed satisfaction with the programme, which reflected resident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were evaluated by the RNs within three weeks of admission.  There is evidence of resident and family involvement in the evaluation of the initial care plan and the six-monthly care plans.  The multidisciplinary team includes care staff, RT and any allied health professionals such as the GP and physio involved in the care of the resident.  Written evaluations for long-term residents had been completed six-monthly against the resident goals and record if the goals have been met or unmet.  The GP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1 August 2019.  There is a reactive and planned maintenance programme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into the electronic system.  The infection control coordinator (RN) has been in the role three weeks and supported by the care centre manager to provide infection control data, trends and relevant information to the monthly Infection Control Committee.  The monthly, three-monthly, six-monthly and annual analysis of infection events, trends and analysis are reviewed by management, and data is forwarded to head office for benchmarking.  Areas for improvement are identified, corrective actions developed and followed up.  Infection control audits are completed, and corrective actions signed off.  Surveillance results are used to identify infection control activities and education needs within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caregivers and nursing staff confirmed their understanding of restraints and enablers.  The service currently has one resident assessed as requiring the use of restraint (lap belt) and four residents using enablers (lap belts).  Residents voluntarily request and consent to enabler use.  Two of four resident files using enablers were reviewed and included an assessment and consent for use of an enabler.  Staff training has been provided around restraint minimisation and management of challenging behaviours.  Staff complete restraint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was completed for the one resident on restraint (lap belt).  The restraint coordinator in partnership with the RNs, GP, resident and their family/whānau, undertakes assessments.  Restraint assessments are based on information in the care plan, resident/family discussions and observations.  Ongoing consultation with the resident and family/whānau are evident in the file reviewed.  The completed assessments considered those listed in 2.2.2.1 (a) - (h).  The previous finding around assessments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GP.  The use of restraint, risks and frequency of monitoring is documented in the care plan of the one resident with a lap belt restraint.  The monitoring form is completed in the residents electronic file as reviewed.   The previous finding around restraint monitoring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Wigram</w:t>
    </w:r>
    <w:bookmarkEnd w:id="58"/>
    <w:r>
      <w:rPr>
        <w:rFonts w:cs="Arial"/>
        <w:sz w:val="16"/>
        <w:szCs w:val="20"/>
      </w:rPr>
      <w:tab/>
      <w:t xml:space="preserve">Date of Audit: </w:t>
    </w:r>
    <w:bookmarkStart w:id="59" w:name="AuditStartDate1"/>
    <w:r>
      <w:rPr>
        <w:rFonts w:cs="Arial"/>
        <w:sz w:val="16"/>
        <w:szCs w:val="20"/>
      </w:rPr>
      <w:t>12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