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Evelyn Page Retirement Village Limited - Evelyn Page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Evelyn Page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Evelyn Page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December 2018</w:t>
      </w:r>
      <w:bookmarkEnd w:id="7"/>
      <w:r w:rsidRPr="009418D4">
        <w:rPr>
          <w:rFonts w:cs="Arial"/>
        </w:rPr>
        <w:tab/>
        <w:t xml:space="preserve">End date: </w:t>
      </w:r>
      <w:bookmarkStart w:id="8" w:name="AuditEndDate"/>
      <w:r w:rsidR="00A4268A">
        <w:rPr>
          <w:rFonts w:cs="Arial"/>
        </w:rPr>
        <w:t>7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Ryman Evelyn Page provides rest home, hospital (geriatric and medical) and dementia level care for up to 137 residents.  On the day of audit there were 119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a review of policies and procedures; a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village manager is newly appointed and is being supported by head office and the acting regional manager.  They have management experience.  There is a clinical manager (registered nurse) who oversees the clinical component of the service.  There are quality systems and processes being implemented.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are provided with information they need on entry to the service and this is regularly updated.  Interviews with residents and family confirmed that they are provided with adequate information and that communication is open.  </w:t>
      </w:r>
    </w:p>
    <w:p w:rsidRPr="00A4268A">
      <w:pPr>
        <w:spacing w:before="240" w:line="276" w:lineRule="auto"/>
        <w:rPr>
          <w:rFonts w:eastAsia="Calibri"/>
        </w:rPr>
      </w:pPr>
      <w:r w:rsidRPr="00A4268A">
        <w:rPr>
          <w:rFonts w:eastAsia="Calibri"/>
        </w:rPr>
        <w:t>Communication records are maintained in each resident record.  Residents are informed of the complaints process and there are policies and procedures in place to investigate complaints.  Complaints reviewed are responded to and closed out in a timely manner.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management structure that includes a regional manager who provides support; a village manager who provides operational management and leadership for the site and service and a clinical manager who provides clinical oversight.  </w:t>
      </w:r>
    </w:p>
    <w:p w:rsidRPr="00A4268A">
      <w:pPr>
        <w:spacing w:before="240" w:line="276" w:lineRule="auto"/>
        <w:rPr>
          <w:rFonts w:eastAsia="Calibri"/>
        </w:rPr>
      </w:pPr>
      <w:r w:rsidRPr="00A4268A">
        <w:rPr>
          <w:rFonts w:eastAsia="Calibri"/>
        </w:rPr>
        <w:t xml:space="preserve">There is an implemented quality and risk management programme.  Adverse, unplanned, and untoward events are documented by staff and reviewed by relevant managers.  All aspects of the quality programme are discussed at relevant meetings.  The health and safety programme meets current legislative requirements.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A staff education and training programme is embedded into practice.  Registered nursing cover is provided twenty-four hours a day, seven days a week.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and implemented within the required timeframes to ensure there is safe, timely and appropriate delivery of care. </w:t>
      </w:r>
    </w:p>
    <w:p w:rsidRPr="00A4268A" w:rsidP="00621629">
      <w:pPr>
        <w:spacing w:before="240" w:line="276" w:lineRule="auto"/>
        <w:rPr>
          <w:rFonts w:eastAsia="Calibri"/>
        </w:rPr>
      </w:pPr>
      <w:r w:rsidRPr="00A4268A">
        <w:rPr>
          <w:rFonts w:eastAsia="Calibri"/>
        </w:rPr>
        <w:t xml:space="preserve">The sample of residents’ records reviewed provides evidence that the provider has implemented systems to assess and plan care needs of the residents.  The residents' needs, outcomes/goals have been identified in the long-term nursing care plans and these are reviewed at least six monthly or earlier if there is a change to health status.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hospital and dementia care residents.  </w:t>
      </w:r>
    </w:p>
    <w:p w:rsidRPr="00A4268A" w:rsidP="00621629">
      <w:pPr>
        <w:spacing w:before="240" w:line="276" w:lineRule="auto"/>
        <w:rPr>
          <w:rFonts w:eastAsia="Calibri"/>
        </w:rPr>
      </w:pPr>
      <w:r w:rsidRPr="00A4268A">
        <w:rPr>
          <w:rFonts w:eastAsia="Calibri"/>
        </w:rPr>
        <w:t>Medication polices reflect legislative requirements and guidelines.  Staff responsible for administration of medications complete education and medication competencies.  The medication charts reviewed meet prescribing requirements and were reviewed at least three monthly.</w:t>
      </w:r>
    </w:p>
    <w:p w:rsidRPr="00A4268A" w:rsidP="00621629">
      <w:pPr>
        <w:spacing w:before="240" w:line="276" w:lineRule="auto"/>
        <w:rPr>
          <w:rFonts w:eastAsia="Calibri"/>
        </w:rPr>
      </w:pPr>
      <w:r w:rsidRPr="00A4268A">
        <w:rPr>
          <w:rFonts w:eastAsia="Calibri"/>
        </w:rPr>
        <w:t xml:space="preserve">Food services and all meals are prepared on site.  Resident’s individual food preferences and dislikes are known by kitchen staff and those serving the meals.  There is dietitian review of the menu.  Nutritious snacks are provided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around restraint minimisation and use of enablers.  The approval process for enabler use is activated when a resident voluntarily requests an enabler to assist them to maintain independence and/or safety.  There were three residents using enablers and sixteen using restraint on audit day, with some using bed rails and/or a chair brief restraint.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A monthly infection control report is completed and forwarded to head office for analysis and benchmarking.  A six-monthly comparative summary is completed.  The service has successfully managed to contain an outbreak in August 2018.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4"/>
        <w:gridCol w:w="1280"/>
        <w:gridCol w:w="10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readily available.  Information about complaints is provided on admission.  Interviews with all residents and family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complaints register that includes written and verbal complaints and dates and actions taken.  Two complaints reviewed indicates that these are being taken seriously with actions taken in timeframes documented in policy and as per the Health and Disability Commissioner's (HDC)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the quality and risk management system.  All complaints are identified as being closed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complaint from the Health and Disability Commission and documentation sighted confirms that this has been closed 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is not covered by the agreement.  The information pack is available in large print and in other languages.  Staff stated that this can be read to residents who are visually impaired or who need support.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on the electronic database and in the residents’ progress notes.  All family interviewed (four with relatives in the hospital; one with a relative in the rest home; one with a relative in the special care unit and one from the serviced apartments) stated they were well-informed.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incident/accident forms and corresponding residents’ files were reviewed, and all identified that the next of kin were contacted.  Regular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interpreting services is available if needed for residents who are unable to speak or understand English.  Staff stated that family and staff are available to interpret.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including seven residents using rest home level of care, three using hospital level of care and one from the serviced apartments identified as requiring rest home level of care, confirmed that they can complain if they need 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Evelyn Page is a Ryman retirement village located in Orewa.  The service is certified to provide rest home, hospital (geriatric and medical) and dementia level care in their care centre for up to 117 residents.  In addition, there are 20 serviced apartments certified to provide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40 dual-purpose beds on the ground level where there were 24 residents requiring hospital level care and 16 requiring rest home level care.  The hospital wing (40 beds) is on the second floor and was full, with 40 residents.  There are two secure care units (Pohutukawa and Summer) with one having 19 beds and one with 18 beds.  There is one vacant room currently in the secure care unit.  There are three residents requiring rest home level care in the serviced apartments.  There are no residents using respite level of care.  There is one resident who is under 65 years of age (On a ‘of like and interest’ contract) in the secure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that guides quality improvement and risk management.  Organisational objectives are documented with evidence of monthly reviews and quarterly reporting on progress towards meeting these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her role for six months, and has been employed by Ryman since August 2018.  She has previous managerial experience and has recently completed a masters degree in leadership, and has attended over eight hours of professional development activities related to managing an aged care facility within the past 12 months.  She is supported by a regional manager, an assistant manager and a clinical manager/RN.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Evelyn Page has a well-established quality and risk management system that is directed by Ryman Christchurch.  Quality and risk performance is reported across the facility meetings and to the organisation's management team.  Discussions with the management team (the village manager, clinical manager and regional manager) and staff (eight caregivers (rostered over all three shifts), the chef, activities coordinator, health and safety representative/administrator, one care coordinator from the serviced apartments, five registered nurses) and review of management and staff meeting minutes demonstrated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in accordance with the monthly team.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resident and family meetings are conducted.  Minutes are documented for each meeting.  Annual resident and relative surveys are completed with a quality improvement plan developed if there is an area identified for improvement.  There was evidence of improvements made to the service as a result of using information from the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Systems are implemented for the collection, analysis and evaluation of quality data.  A range of data (eg, falls, pressure injuries, challenging behaviours, infections) is collected across the service using an electronic data system.  Data is collated and analysed with evaluation reports completed six-monthly.  Data analysis describes variation, patterns and trends.  Data is benchmarked against other Ryman facilities.  Communication of results occurs across a range of meetings (eg, management meetings, full facility meetings, team Ryman meetings).  Templates for all meetings document action required, timeframe and the status of the actions.  A review of data confirmed that any issue or improvement is signed off as being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committee meetings.  A health and safety officer is appointed who has completed external health and safety training.  The health and safety officer interviewed was clear regarding their role.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intentional rounding, physiotherapy input, sensor mats to alert when a resident is active and regular exercise programmes.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15 incident/accident forms for 2018 identified that all are fully completed and include follow-up by a registered nurse.  The adverse event reporting process is linked to the quality and risk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acting regional manager can identify a range of situations that required reporting to statutory authorities (a notification for an outbreak in August 2018) and notification to relevant external authorities regarding the change in village manager.  The village manager confirmed that there were no cases presented to the coroner for review for residents in the care centre.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Fifteen staff files reviewed (village manager, clinical manager,  one registered nurse, five caregivers, one laundry, one activities coordinator and two diversional therapists, two housekeepers, one chef) included an application form, interview and reference checks, signed employment contracts, job description relevant to the role(s) the staff member is in, completion of a general and job-specific orientation programme and annual performance appraisals with eight 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practising certificates for visiting health professionals is maintained within the facility.  Practising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orientation/induction programme provides new staff with relevant information for safe work practice.  It is tailored specifically to each position.  There is an implemented annual education plan.  The annual training programme exceeds eight hours annually.  Training is repeated to ensure all staff can attend.  There is an attendance register for each training session and an individual staff member record of training.  The majority of caregivers who work in the dementia units have completed their required dementia qualification apart from new staff or those in training (all within 18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There are eight registered nurses trained (including the clinical manager), who have completed interRAI training.  There are implemented competencies for registered nurses and caregivers related to specialised procedures or treatments, including medication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This defines staffing ratios to residents.  Rosters implement the staffing rationale.  There is a minimum of two RNs and eight caregivers on-site at any time.  Activities are provided seven days a week in the hospital and dementia unit.</w:t>
            </w:r>
          </w:p>
          <w:p w:rsidR="00EB7645" w:rsidRPr="00BE00C7" w:rsidP="00BE00C7">
            <w:pPr>
              <w:pStyle w:val="OutcomeDescription"/>
              <w:spacing w:before="120" w:after="120"/>
              <w:rPr>
                <w:rFonts w:cs="Arial"/>
                <w:b w:val="0"/>
                <w:lang w:eastAsia="en-NZ"/>
              </w:rPr>
            </w:pPr>
            <w:r w:rsidRPr="00BE00C7">
              <w:rPr>
                <w:rFonts w:cs="Arial"/>
                <w:b w:val="0"/>
                <w:lang w:eastAsia="en-NZ"/>
              </w:rPr>
              <w:t>In addition to staff registered nurses (RNs), RN cover includes a full-time unit coordinator for the 40-bed dual-purpose rest home/hospital floor, a hospital unit coordinator (RN) for the 40-bed hospital unit and a special care coordinator (RN) for the dementia units.  A minimum of one senior caregiver is on duty in the serviced apartments during the night shift, with additional staffing on the morning and afternoon shifts.  Staffing throughout the facility meets contractual requirements and is adjusted based on the number of residents and their acuity.  This currently includes seven caregivers on the morning and afternoon shifts in the rest home; eight caregivers on the morning and afternoon shift in the hospital and four on the morning and afternoon shifts in the special care unit.  There are two registered nurses in the special care unit in the morning and one in the afternoon.</w:t>
            </w:r>
          </w:p>
          <w:p w:rsidR="00EB7645" w:rsidRPr="00BE00C7" w:rsidP="00BE00C7">
            <w:pPr>
              <w:pStyle w:val="OutcomeDescription"/>
              <w:spacing w:before="120" w:after="120"/>
              <w:rPr>
                <w:rFonts w:cs="Arial"/>
                <w:b w:val="0"/>
                <w:lang w:eastAsia="en-NZ"/>
              </w:rPr>
            </w:pPr>
            <w:r w:rsidRPr="00BE00C7">
              <w:rPr>
                <w:rFonts w:cs="Arial"/>
                <w:b w:val="0"/>
                <w:lang w:eastAsia="en-NZ"/>
              </w:rPr>
              <w:t>Staff were visible during the audit and were attending to call bells in a timely manner, as confirmed by all residents and families interviewed.  Staff interviewed stated that overall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medication blister packs for regular and ‘as needed’ (PRN) medications.  Medications are managed appropriately in line with required guidelines and legislation.  Medication fridge temperature monitoring is undertaken.  Medication reconciliation is completed on delivery.  All clinical staff who administer medication have been assessed for competency on an annual basis.  Education around safe medication administration has been provided.  Staff were observed to be safely administering medications.  Registered nurses and care staff interviewed were able to describe their role regarding medicine administration.  Standing orders are not used.  Residents self-medicating had been assessed by the GP and RN as competent to self-administer.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15 medication charts sampled met legislative prescribing requirements.  The medication charts reviewed identified that the GP had seen and reviewed the resident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meals at Evelyn Page are all prepared on site.  There is a four-weekly seasonal menu that is designed and reviewed by a registered dietitian at an organisational level.  The chef receives resident dietary information from the RNs and is notified of any changes to dietary requirements (vegetarian, moulied foods) or of any residents with weight loss.  The chef (interviewed) is aware of resident likes, dislikes and special dietary requirements.  Alternative meals are offered for those residents with dislikes or religious preferences.  Residents have access to nutritious snacks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safety management procedures are adhered to including storage of food, and temperature monitoring.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Food services staff have all completed food safety and hygiene courses.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very satisfied with recent changes in the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tools are used for any change in health condition and to develop the long-term/short-term care plans.  When a resident's condition alters, the registered nurse initiates a review and if required, GP or nurse specialist consultation.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myRyman programme identifies interventions that cover a comprehensive set of goals including managing medical needs/risks.  Key symbols on the resident’s electronic home page identity current and acute needs such as (but not limited to); wound or recent fall.  There was documented evidence of resident/family/whānau involvement in the care planning process in the long-term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Care plans reflect the required health monitoring interventions for individual residents.  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Monitoring charts are well utilised.  Short-term care plans are generated through completing an updated assessment on myRyman, and interventions are automatically updated into the care plan.  Evaluations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evaluations were in place for all current wounds reviewed.  The register included the number of residents with wounds.  Wounds reviewed were:  hospital unit - two ulcers, one skin lesion/ rest home three abrasions, two skin tears/ dementia one abrasion, three skin tears.  There was no record of any residents with pressure injuries.  GPs are notified of all wounds.  Adequate dressing supplies were sighted in the treatment rooms.  Staff receive regular education on wound management.</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for day use, night use, and other management.  Specialist continence advice is available as needed and this could be described by the care staff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included involvement of allied health professionals in the care of the resident.  This was integrated into the electronic myRyman individualised record.  Evidence was sighted for speech language therapist, physiotherapist, dietitian, hospice, podiatrist, mental health services and wound care specialist (district nursing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activity coordinators who provide a separate Monday to Friday activity programme for the rest home, hospital, dementia care units and serviced apartments.  A company diversional therapist (DT) oversees the activity programmes.  The activity coordinators attend Ryman workshops and on-site in-services.  All hold current first aid certificates.  One of the activity team has completed DT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monthly and includes Ryman minimum requirements for the “Engage” activities programme.  Activities programmes are displayed on noticeboards around the facility and a monthly calendar is delivered to each individual resident.  There is a core programme, which includes the triple A (Active, Ageless, Awareness) exercise programme.  Activities are delivered to meet the cognitive, physical, intellectual and emotional needs of the residents.  One-on-one time is spent with residents who are unable to actively participate in the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individual and small group activities were observed occurring in the dementia care units at various times throughout the day of audit.  Residents in serviced apartments can choose to attend the serviced apartment or rest home/hospital activities.  Entertainment and outing are scheduled weekly.  Community visitors are included in the programme.  Residents are assessed, and with family involvement if applicable, and likes, dislikes, and hobbies are discussed.  </w:t>
            </w:r>
          </w:p>
          <w:p w:rsidR="00EB7645" w:rsidRPr="00BE00C7" w:rsidP="00BE00C7">
            <w:pPr>
              <w:pStyle w:val="OutcomeDescription"/>
              <w:spacing w:before="120" w:after="120"/>
              <w:rPr>
                <w:rFonts w:cs="Arial"/>
                <w:b w:val="0"/>
                <w:lang w:eastAsia="en-NZ"/>
              </w:rPr>
            </w:pPr>
            <w:r w:rsidRPr="00BE00C7">
              <w:rPr>
                <w:rFonts w:cs="Arial"/>
                <w:b w:val="0"/>
                <w:lang w:eastAsia="en-NZ"/>
              </w:rPr>
              <w:t>An activity plan is developed, and the resident is encouraged to join in activities that are appropriate and meaningful.  A resident attendance list is maintained for activities, entertainment and outings.  Resident meetings are held two monthly and family meetings six monthly.  There is an opportunity to provide feedback on activities at the meetings and six-monthly reviews.  Resident and relative surveys also provide feedback on the activity programme.  Residents interviewed spoke positively about the activity programme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evaluation and care plan review policy requires that care plans are reviewed six monthly or more frequently when clinically indicated.  All initial care plans are evaluated by the RN within three weeks of admission.  The written evaluations describe progress against the documented goals and needs identified in the care plan.  Four long-term care files sampled of permanent residents contained written evaluations completed six monthly.  The other three files were not yet due for evaluation.  Family are invited to attend review meetings (correspondence noted in files reviewed).  The GP reviews the resident at least three monthly and more frequently for residents with more complex problems.  Ongoing nursing evaluations occur daily and/or as required and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three service levels across three floors.  The serviced apartments are accessed from the ground floor.  There are 40 hospital beds on the ground floor, 40 dual-purpose beds on level 1 and 37 dementia beds split into 2 wings of 19 and 18 beds on level 2.  There are multiple lifts, and stairs access between the levels and secure entrance and exits to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10 August 2019.   </w:t>
            </w:r>
          </w:p>
          <w:p w:rsidR="00EB7645" w:rsidRPr="00BE00C7" w:rsidP="00BE00C7">
            <w:pPr>
              <w:pStyle w:val="OutcomeDescription"/>
              <w:spacing w:before="120" w:after="120"/>
              <w:rPr>
                <w:rFonts w:cs="Arial"/>
                <w:b w:val="0"/>
                <w:lang w:eastAsia="en-NZ"/>
              </w:rPr>
            </w:pPr>
            <w:r w:rsidRPr="00BE00C7">
              <w:rPr>
                <w:rFonts w:cs="Arial"/>
                <w:b w:val="0"/>
                <w:lang w:eastAsia="en-NZ"/>
              </w:rPr>
              <w:t>The facility employs two maintenance staff (full-time and on call) and gardens and grounds staff.  Daily maintenance requests are addressed, and a 12-monthly planned maintenance schedule is in place and has been signed off monthly (sighted).  Essential contractors are available 24 hours.  Electrical testing is completed annually.  An external contractor completes annual calibration and functional checks of medical equipment.</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in resident areas are monitored.  Temperature recordings reviewed were between 43-45 degrees Celsius.  Currently air-conditioning units are being installed in the serviced apartment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safely using mobility aids.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safely accessing the outdoor gardens and courtyards.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includes an open plan dining/lounge area.  There is free and safe access to an outdoor deck area with raised gardens, seating and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the Ryman calendar.  Effective monitoring is the responsibility of the infection prevention and control officer who is a registered nurse.  An individual infection report form is completed for each infection.  Data is logged into an electronic system, which gives a monthly infection summary.  This summary is then discussed at the bi-monthly combined health and safety and infection prevention and control (IPC)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Six-monthly comparative summaries of the data are completed and forwarded to head office.  All meetings held at Ryman Evelyn Page include discussion on infection prevention control.  The IPC programme is incorporated into the internal audit programme.  Infection rates are benchmarked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outbreak in 2018 with documentation reviewed indicating that this was managed as per policy.  External authorities were notified, and advice and support received.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There were three residents using enablers and sixteen using restraint on audit day, with some using bed rails and/or a chair brief restraint.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Evelyn Page Retirement Village Limited - Evelyn Page Retirement Village</w:t>
    </w:r>
    <w:bookmarkEnd w:id="58"/>
    <w:r>
      <w:rPr>
        <w:rFonts w:cs="Arial"/>
        <w:sz w:val="16"/>
        <w:szCs w:val="20"/>
      </w:rPr>
      <w:tab/>
      <w:t xml:space="preserve">Date of Audit: </w:t>
    </w:r>
    <w:bookmarkStart w:id="59" w:name="AuditStartDate1"/>
    <w:r>
      <w:rPr>
        <w:rFonts w:cs="Arial"/>
        <w:sz w:val="16"/>
        <w:szCs w:val="20"/>
      </w:rPr>
      <w:t>6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