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Heritage Lifecare Limited - Granger House Lifecare</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The DAA Group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Heritage Lifecare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Granger House Lifecare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15 November 2018</w:t>
      </w:r>
      <w:bookmarkEnd w:id="7"/>
      <w:r w:rsidRPr="009418D4">
        <w:rPr>
          <w:rFonts w:cs="Arial"/>
        </w:rPr>
        <w:tab/>
        <w:t xml:space="preserve">End date: </w:t>
      </w:r>
      <w:bookmarkStart w:id="8" w:name="AuditEndDate"/>
      <w:r w:rsidR="00A4268A">
        <w:rPr>
          <w:rFonts w:cs="Arial"/>
        </w:rPr>
        <w:t>16 November 2018</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59</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Granger House Lifecare provides rest home and hospital level care for up to 70 residents. The service is operated by Heritage Lifecare Limited (HLL) and managed by a facility manager and a clinical manager. Residents and families spoke positively about the care provided.</w:t>
      </w:r>
    </w:p>
    <w:p w:rsidRPr="00A4268A">
      <w:pPr>
        <w:spacing w:before="240" w:line="276" w:lineRule="auto"/>
        <w:rPr>
          <w:rFonts w:eastAsia="Calibri"/>
        </w:rPr>
      </w:pPr>
      <w:r w:rsidRPr="00A4268A">
        <w:rPr>
          <w:rFonts w:eastAsia="Calibri"/>
        </w:rPr>
        <w:t xml:space="preserve">This certification audit was conducted against the Health and Disability Services Standards and the service’s contract with the district health board. The audit process included review of policies and procedures, review of residents’ and staff files, observations and interviews with residents, family members, management, staff, a contracted allied health provider and two general practitioners.  </w:t>
      </w:r>
    </w:p>
    <w:p w:rsidRPr="00A4268A">
      <w:pPr>
        <w:spacing w:before="240" w:line="276" w:lineRule="auto"/>
        <w:rPr>
          <w:rFonts w:eastAsia="Calibri"/>
        </w:rPr>
      </w:pPr>
      <w:r w:rsidRPr="00A4268A">
        <w:rPr>
          <w:rFonts w:eastAsia="Calibri"/>
        </w:rPr>
        <w:t xml:space="preserve">This audit has resulted in areas requiring improvement relating to care planning.  </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The Health and Disability Commissioner’s Code of Health and Disability Services Consumers’ Rights (the Code) is made available to residents.  Opportunities to discuss the Code, consent and availability of advocacy services is provided at the time of admission and thereafter as required.  </w:t>
      </w:r>
    </w:p>
    <w:p w:rsidRPr="00A4268A">
      <w:pPr>
        <w:spacing w:before="240" w:line="276" w:lineRule="auto"/>
        <w:rPr>
          <w:rFonts w:eastAsia="Calibri"/>
        </w:rPr>
      </w:pPr>
      <w:r w:rsidRPr="00A4268A">
        <w:rPr>
          <w:rFonts w:eastAsia="Calibri"/>
        </w:rPr>
        <w:t xml:space="preserve">Services are provided that respect the choices, personal privacy, independence, individual needs and dignity of residents and staff were noted to be interacting with residents in a respectful manner. </w:t>
      </w:r>
    </w:p>
    <w:p w:rsidRPr="00A4268A">
      <w:pPr>
        <w:spacing w:before="240" w:line="276" w:lineRule="auto"/>
        <w:rPr>
          <w:rFonts w:eastAsia="Calibri"/>
        </w:rPr>
      </w:pPr>
      <w:r w:rsidRPr="00A4268A">
        <w:rPr>
          <w:rFonts w:eastAsia="Calibri"/>
        </w:rPr>
        <w:t>Care for residents who identify as Maori is guided by a comprehensive Māori health plan and related policies.</w:t>
      </w:r>
    </w:p>
    <w:p w:rsidRPr="00A4268A">
      <w:pPr>
        <w:spacing w:before="240" w:line="276" w:lineRule="auto"/>
        <w:rPr>
          <w:rFonts w:eastAsia="Calibri"/>
        </w:rPr>
      </w:pPr>
      <w:r w:rsidRPr="00A4268A">
        <w:rPr>
          <w:rFonts w:eastAsia="Calibri"/>
        </w:rPr>
        <w:t xml:space="preserve">There was no evidence of abuse, neglect or discrimination and staff understood and implemented related policies. Professional boundaries are maintained. </w:t>
      </w:r>
    </w:p>
    <w:p w:rsidRPr="00A4268A">
      <w:pPr>
        <w:spacing w:before="240" w:line="276" w:lineRule="auto"/>
        <w:rPr>
          <w:rFonts w:eastAsia="Calibri"/>
        </w:rPr>
      </w:pPr>
      <w:r w:rsidRPr="00A4268A">
        <w:rPr>
          <w:rFonts w:eastAsia="Calibri"/>
        </w:rPr>
        <w:t xml:space="preserve">Open communication between staff, residents and families is promoted, and confirmed to be effective. There is access to formal interpreting services if required.  </w:t>
      </w:r>
    </w:p>
    <w:p w:rsidRPr="00A4268A">
      <w:pPr>
        <w:spacing w:before="240" w:line="276" w:lineRule="auto"/>
        <w:rPr>
          <w:rFonts w:eastAsia="Calibri"/>
        </w:rPr>
      </w:pPr>
      <w:r w:rsidRPr="00A4268A">
        <w:rPr>
          <w:rFonts w:eastAsia="Calibri"/>
        </w:rPr>
        <w:t>The service has linkages with a range of specialist health care providers, which contributes to ensuring services provided to residents are of an appropriate standard.</w:t>
      </w:r>
    </w:p>
    <w:p w:rsidRPr="00A4268A">
      <w:pPr>
        <w:spacing w:before="240" w:line="276" w:lineRule="auto"/>
        <w:rPr>
          <w:rFonts w:eastAsia="Calibri"/>
        </w:rPr>
      </w:pPr>
      <w:r w:rsidRPr="00A4268A">
        <w:rPr>
          <w:rFonts w:eastAsia="Calibri"/>
        </w:rPr>
        <w:t>A complaints register is maintained with complaints resolved promptly and effectively.</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Business and quality and risk management plans include the scope, direction, goals, values and mission statement of the organisation.  Monitoring of the services provided to the governing body is regular and effective. An experienced and suitably qualified person manages the facility.  </w:t>
      </w:r>
    </w:p>
    <w:p w:rsidRPr="00A4268A">
      <w:pPr>
        <w:spacing w:before="240" w:line="276" w:lineRule="auto"/>
        <w:rPr>
          <w:rFonts w:eastAsia="Calibri"/>
        </w:rPr>
      </w:pPr>
      <w:r w:rsidRPr="00A4268A">
        <w:rPr>
          <w:rFonts w:eastAsia="Calibri"/>
        </w:rPr>
        <w:t xml:space="preserve">The quality and risk management system includes collection and analysis of quality improvement data, identifies trends and leads to improvements. Staff are involved, and feedback is sought from residents and families. Adverse events are documented with corrective actions implemented. Actual and potential risks, including health and safety risks, are identified and mitigated.  Policies and procedures support service delivery and were current and reviewed regularly. </w:t>
      </w:r>
    </w:p>
    <w:p w:rsidRPr="00A4268A">
      <w:pPr>
        <w:spacing w:before="240" w:line="276" w:lineRule="auto"/>
        <w:rPr>
          <w:rFonts w:eastAsia="Calibri"/>
        </w:rPr>
      </w:pPr>
      <w:r w:rsidRPr="00A4268A">
        <w:rPr>
          <w:rFonts w:eastAsia="Calibri"/>
        </w:rPr>
        <w:t xml:space="preserve">The appointment, orientation and management of staff is based on current good practice. A systematic approach to identify and deliver ongoing training supports safe service delivery and includes regular individual performance review.  Staffing levels and skill mix meet the changing needs of residents.   </w:t>
      </w:r>
    </w:p>
    <w:p w:rsidRPr="00A4268A">
      <w:pPr>
        <w:spacing w:before="240" w:line="276" w:lineRule="auto"/>
        <w:rPr>
          <w:rFonts w:eastAsia="Calibri"/>
        </w:rPr>
      </w:pPr>
      <w:r w:rsidRPr="00A4268A">
        <w:rPr>
          <w:rFonts w:eastAsia="Calibri"/>
        </w:rPr>
        <w:t>Residents’ information is accurately recorded, securely stored and not accessible to unauthorised people. Up to date, legible and relevant residents’ records are maintained in using integrated hard copy files.</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The organisation works closely with the local Needs Assessment and Service Co-ordination Service, to ensure access to the facility is appropriate and efficiently managed. When a vacancy occurs, relevant information is provided to the potential resident/family to facilitate the admission. </w:t>
      </w:r>
    </w:p>
    <w:p w:rsidRPr="00A4268A" w:rsidP="00621629">
      <w:pPr>
        <w:spacing w:before="240" w:line="276" w:lineRule="auto"/>
        <w:rPr>
          <w:rFonts w:eastAsia="Calibri"/>
        </w:rPr>
      </w:pPr>
      <w:r w:rsidRPr="00A4268A">
        <w:rPr>
          <w:rFonts w:eastAsia="Calibri"/>
        </w:rPr>
        <w:t xml:space="preserve">Residents’ needs are assessed by the multidisciplinary team on admission within the required timeframes. Shift handovers and communication sheets guide continuity of care. </w:t>
      </w:r>
    </w:p>
    <w:p w:rsidRPr="00A4268A" w:rsidP="00621629">
      <w:pPr>
        <w:spacing w:before="240" w:line="276" w:lineRule="auto"/>
        <w:rPr>
          <w:rFonts w:eastAsia="Calibri"/>
        </w:rPr>
      </w:pPr>
      <w:r w:rsidRPr="00A4268A">
        <w:rPr>
          <w:rFonts w:eastAsia="Calibri"/>
        </w:rPr>
        <w:t>Care plans are individualised, based on a range of information. Short term care plans are developed to manage any new problems that might arise. Residents and families interviewed reported being well informed and involved in care planning and evaluation.  Residents are referred or transferred to other health services as required, with appropriate verbal and written handovers.</w:t>
      </w:r>
    </w:p>
    <w:p w:rsidRPr="00A4268A" w:rsidP="00621629">
      <w:pPr>
        <w:spacing w:before="240" w:line="276" w:lineRule="auto"/>
        <w:rPr>
          <w:rFonts w:eastAsia="Calibri"/>
        </w:rPr>
      </w:pPr>
      <w:r w:rsidRPr="00A4268A">
        <w:rPr>
          <w:rFonts w:eastAsia="Calibri"/>
        </w:rPr>
        <w:t xml:space="preserve">The planned activity programme is overseen by two diversional therapists and a recreation officer and provides residents with a variety of individual and group activities and maintains their links with the community. A facility van is available for outings.  </w:t>
      </w:r>
    </w:p>
    <w:p w:rsidRPr="00A4268A" w:rsidP="00621629">
      <w:pPr>
        <w:spacing w:before="240" w:line="276" w:lineRule="auto"/>
        <w:rPr>
          <w:rFonts w:eastAsia="Calibri"/>
        </w:rPr>
      </w:pPr>
      <w:r w:rsidRPr="00A4268A">
        <w:rPr>
          <w:rFonts w:eastAsia="Calibri"/>
        </w:rPr>
        <w:t>Medicines are managed according to policies and procedures based on current good practice and consistently implemented using an electronic system. Registered nurses and care staff administer medications, all of whom have been assessed as competent to do so.</w:t>
      </w:r>
    </w:p>
    <w:p w:rsidRPr="00A4268A" w:rsidP="00621629">
      <w:pPr>
        <w:spacing w:before="240" w:line="276" w:lineRule="auto"/>
        <w:rPr>
          <w:rFonts w:eastAsia="Calibri"/>
        </w:rPr>
      </w:pPr>
      <w:r w:rsidRPr="00A4268A">
        <w:rPr>
          <w:rFonts w:eastAsia="Calibri"/>
        </w:rPr>
        <w:t>The food service meets the nutritional needs of the residents with special needs catered for. Policies guide food service delivery supported by staff with food safety qualifications. The kitchen was well organised, clean and meets food safety standards. Residents verified overall satisfaction with meals.</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facility meets the needs of residents and was clean and well maintained. There is a current building warrant of fitness.  Electrical equipment is tested as required. Communal and individual spaces are maintained at a comfortable temperature. External areas are accessible, safe and provide shade and seating.  </w:t>
      </w:r>
    </w:p>
    <w:p w:rsidRPr="00A4268A">
      <w:pPr>
        <w:spacing w:before="240" w:line="276" w:lineRule="auto"/>
        <w:rPr>
          <w:rFonts w:eastAsia="Calibri"/>
        </w:rPr>
      </w:pPr>
      <w:r w:rsidRPr="00A4268A">
        <w:rPr>
          <w:rFonts w:eastAsia="Calibri"/>
        </w:rPr>
        <w:t>Waste and hazardous substances are well managed. Staff use protective equipment and clothing. Chemicals, soiled linen and equipment are safely stored. Laundry is undertaken onsite and evaluated for effectiveness.</w:t>
      </w:r>
    </w:p>
    <w:p w:rsidRPr="00A4268A">
      <w:pPr>
        <w:spacing w:before="240" w:line="276" w:lineRule="auto"/>
        <w:rPr>
          <w:rFonts w:eastAsia="Calibri"/>
        </w:rPr>
      </w:pPr>
      <w:r w:rsidRPr="00A4268A">
        <w:rPr>
          <w:rFonts w:eastAsia="Calibri"/>
        </w:rPr>
        <w:t>Staff are trained in emergency procedures, use of emergency equipment and supplies and attend regular fire drills.  Fire evacuation procedures are regularly practised.  Residents reported a timely staff response to call bells.  Security is maintained.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The organisation has implemented policies and procedures that support the minimisation of restraint. Five enablers and three restraints were in use at the time of audit.  A comprehensive assessment, approval and monitoring process with regular reviews occurs.  Use of enablers is voluntary for the safety of residents in response to individual requests. Staff demonstrated a sound knowledge and understanding of the restraint and enabler processes.</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prevention and control programme, led by an experienced and appropriately trained infection control nurse, aims to prevent and manage infections. Specialist infection prevention and control advice is accessed from the West Coast District Health Board. The programme is reviewed annually.</w:t>
      </w:r>
    </w:p>
    <w:p w:rsidRPr="00A4268A">
      <w:pPr>
        <w:spacing w:before="240" w:line="276" w:lineRule="auto"/>
        <w:rPr>
          <w:rFonts w:eastAsia="Calibri"/>
        </w:rPr>
      </w:pPr>
      <w:r w:rsidRPr="00A4268A">
        <w:rPr>
          <w:rFonts w:eastAsia="Calibri"/>
        </w:rPr>
        <w:t xml:space="preserve">Staff demonstrated good principles and practice around infection control, which is guided by relevant policies and supported with regular education. </w:t>
      </w:r>
    </w:p>
    <w:p w:rsidRPr="00A4268A">
      <w:pPr>
        <w:spacing w:before="240" w:line="276" w:lineRule="auto"/>
        <w:rPr>
          <w:rFonts w:eastAsia="Calibri"/>
        </w:rPr>
      </w:pPr>
      <w:r w:rsidRPr="00A4268A">
        <w:rPr>
          <w:rFonts w:eastAsia="Calibri"/>
        </w:rPr>
        <w:t>Aged care specific infection surveillance is undertaken, with data analysed, trended, benchmarked and results reported through all levels of the organisation. Follow-up action is taken as and when required.</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49</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0</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100</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0</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1</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391"/>
        <w:gridCol w:w="1280"/>
        <w:gridCol w:w="926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Granger House Lifecare (Granger House) has policies, procedures and processes in place to meet its obligations in relation to the Code of Health and Disability Services Consumers’ Rights (the Code). Staff interviewed understood the requirements of the Code and were observed demonstrating respectful communication, encouraging independence, providing options and maintaining dignity and privacy. Training on the Code is included as part of the orientation process for all staff employed and as a component of additional training held in April 2018, as verified in training records.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Nursing and care staff interviewed understood the principles and practice of informed consent. Informed consent policies provide relevant guidance to staff. Clinical files reviewed show that informed consent had been gained appropriately using the organisation’s standard consent form including for photographs, outings, invasive procedures and collection of health information. </w:t>
            </w:r>
          </w:p>
          <w:p w:rsidR="00EB7645" w:rsidRPr="00BE00C7" w:rsidP="00BE00C7">
            <w:pPr>
              <w:pStyle w:val="OutcomeDescription"/>
              <w:spacing w:before="120" w:after="120"/>
              <w:rPr>
                <w:rFonts w:cs="Arial"/>
                <w:b w:val="0"/>
                <w:lang w:eastAsia="en-NZ"/>
              </w:rPr>
            </w:pPr>
            <w:r w:rsidRPr="00BE00C7">
              <w:rPr>
                <w:rFonts w:cs="Arial"/>
                <w:b w:val="0"/>
                <w:lang w:eastAsia="en-NZ"/>
              </w:rPr>
              <w:t>Advance care planning, establishing and documenting enduring power of attorney requirements and processes for residents unable to consent is defined and documented where relevant in the resident’s file. Staff demonstrated their understanding by being able to explain situations when this may occur. Training on enduring power of attorney was held in June 2018.</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to gain consent for day to day care on an ongoing basis.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During the admission process, residents are given a copy of the Code, which also includes information on the Advocacy Service. Brochures related to the Advocacy Service were available at reception. Family members and residents spoken with were aware of the Advocacy Service, how to access this and their right to have support persons.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were aware of how to access the Advocacy Service.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assisted to maximise their potential for self-help and to maintain links with their family and the community by attending a variety of organised outings, visits, shopping trips, activities, and entertainment. </w:t>
            </w:r>
          </w:p>
          <w:p w:rsidR="00EB7645" w:rsidRPr="00BE00C7" w:rsidP="00BE00C7">
            <w:pPr>
              <w:pStyle w:val="OutcomeDescription"/>
              <w:spacing w:before="120" w:after="120"/>
              <w:rPr>
                <w:rFonts w:cs="Arial"/>
                <w:b w:val="0"/>
                <w:lang w:eastAsia="en-NZ"/>
              </w:rPr>
            </w:pPr>
            <w:r w:rsidRPr="00BE00C7">
              <w:rPr>
                <w:rFonts w:cs="Arial"/>
                <w:b w:val="0"/>
                <w:lang w:eastAsia="en-NZ"/>
              </w:rPr>
              <w:t>The facility has unrestricted visiting hours and encourages visits from residents’ families and friends. Family members interviewed stated they felt welcome when they visited and comfortable in their dealings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policy and associated forms meet the requirements of Right 10 of the Code.  Information on the complaint process is provided to residents and families on admission and those interviewed knew how to do so.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complaints register reviewed showed that nine complaints have been received in 2018 and that actions taken, through to an agreed resolution, are documented and completed within the timeframes.  Action plans showed any required follow up and improvements have been made where possible. The facility manager (FM) is responsible for collating and initially responding to complaints, these are then escalated to organisational level and the Heritage Lifecare Limited (HLL) operations manager (OM) completes the required documentation within timeframes. All staff interviewed confirmed a sound understanding of the complaint process and what actions are required. There have been two complaints received from external sources since the previous audit.  Processes and timeframes have been met, and both have been resolved.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of Granger House and family members interviewed reported being made aware of the Code and the Nationwide Health and Disability Advocacy Service (Advocacy Service) as part of the admission information provided and discussion with staff. The Code is displayed in common areas around the facility. Information on advocacy services, how to make a complaint and feedback forms are on display in the front entrance foyer.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families confirmed that they receive services in a manner that has regard for their dignity, privacy, sexuality, spirituality and choices.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need to maintain privacy and were observed doing so throughout the audit, ensuring resident information is held securely and privately, exchanging verbal information during discussion with families and the general practitioner (GP).  When attending to personal cares, signage indicating ‘do not enter, personal cares being done’ is placed on the resident’s bedroom door. All residents have a private room.</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independence by participating in community activities, regular outings to the local shops or areas of interest and participation in clubs of their choosing. Several mobility scooters were observed on charge around the facility, enabling residents to maintain independence and accessibility to community opportunities. Each resident’s care plan included documentation related to the resident’s abilities, and strategies to maximise independence.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Records reviewed confirmed that each resident’s individual cultural, religious and social needs, values and beliefs had been identified, documented and incorporated into their care plan. </w:t>
            </w:r>
          </w:p>
          <w:p w:rsidR="00EB7645" w:rsidRPr="00BE00C7" w:rsidP="00BE00C7">
            <w:pPr>
              <w:pStyle w:val="OutcomeDescription"/>
              <w:spacing w:before="120" w:after="120"/>
              <w:rPr>
                <w:rFonts w:cs="Arial"/>
                <w:b w:val="0"/>
                <w:lang w:eastAsia="en-NZ"/>
              </w:rPr>
            </w:pPr>
            <w:r w:rsidRPr="00BE00C7">
              <w:rPr>
                <w:rFonts w:cs="Arial"/>
                <w:b w:val="0"/>
                <w:lang w:eastAsia="en-NZ"/>
              </w:rPr>
              <w:t>Staff understood the service’s policy on abuse and neglect, including what to do should there be any signs. Education on abuse and neglect is part of the orientation programme for staff and is then provided on an annual basis. This was last presented in May 2018, as confirmed by staff and in training records reviewed.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was one resident in Granger House at the time of audit who identified as Māori. Interviews with the resident and staff verified staff can support residents who identify as Māori to integrate their cultural values and beliefs. The principles of the Treaty of Waitangi are incorporated into day to day practice, as is the importance of whānau to Māori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of Granger House and their families verified that residents were consulted on their individual culture, values and beliefs and that staff respect these. Resident’s personal preferences, required interventions and special needs were included in all care plans reviewed, for example, food likes and dislikes and attention to preferences around activities of daily living.</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stated that residents were free from any type of discrimination, harassment or exploitation and felt safe.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induction process for staff includes education related to professional boundaries and expected behaviours. All registered nurses (RN’s) have records of completion of the required training on professional boundaries. Staff are provided with a Code of Conduct as part of their individual employment contract. Ongoing education is also provided on an annual basis, which was confirmed in staff training records. Staff are guided by policies and procedures and, when interviewed, demonstrated a clear understanding of what would constitute inappropriate behaviour and the processes they would follow should they suspect this was occurring.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evidence-based policies, input from external specialist services and allied health professionals, for example, hospice/palliative care team, the complex clinical care network team, physiotherapist, dieticians, district nurses, West Coast District Health Board (WCDHB) dementia services unit, and education of staff. A face to face interview with one of two GPs confirmed the service sought prompt and appropriate medical intervention when required and were responsive to medical requests. Interviews with a visiting dietician and a district nurse, confirmed the service was always responsive to requests in a professional manner.</w:t>
            </w:r>
          </w:p>
          <w:p w:rsidR="00EB7645" w:rsidRPr="00BE00C7" w:rsidP="00BE00C7">
            <w:pPr>
              <w:pStyle w:val="OutcomeDescription"/>
              <w:spacing w:before="120" w:after="120"/>
              <w:rPr>
                <w:rFonts w:cs="Arial"/>
                <w:b w:val="0"/>
                <w:lang w:eastAsia="en-NZ"/>
              </w:rPr>
            </w:pPr>
            <w:r w:rsidRPr="00BE00C7">
              <w:rPr>
                <w:rFonts w:cs="Arial"/>
                <w:b w:val="0"/>
                <w:lang w:eastAsia="en-NZ"/>
              </w:rPr>
              <w:t>Staff reported they receive management support for external education and access their own professional networks, such as on-line forums, to support contemporary good practice. All RNs had attended palliative care training and all were syringe driver competent.  There has been an increase in the availability and access to ongoing training sessions for staff.</w:t>
            </w:r>
          </w:p>
          <w:p w:rsidR="00EB7645" w:rsidRPr="00BE00C7" w:rsidP="00BE00C7">
            <w:pPr>
              <w:pStyle w:val="OutcomeDescription"/>
              <w:spacing w:before="120" w:after="120"/>
              <w:rPr>
                <w:rFonts w:cs="Arial"/>
                <w:b w:val="0"/>
                <w:lang w:eastAsia="en-NZ"/>
              </w:rPr>
            </w:pPr>
            <w:r w:rsidRPr="00BE00C7">
              <w:rPr>
                <w:rFonts w:cs="Arial"/>
                <w:b w:val="0"/>
                <w:lang w:eastAsia="en-NZ"/>
              </w:rPr>
              <w:t>Other examples of good practice observed during the audit included a commitment to ongoing improvement in the care provided, evidenced by the compliments expressed during interviews with residents and families. Implementation of initiatives evidenced a reduction in the number of falls, infections, residents with weight loss and the number of complaints, and an increase in the number of compliments.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stated they were kept well informed about any changes to their own or their relative’s status, were advised in a timely manner about any incidents or accidents and any urgent medical reviews. This was supported in residents’ records reviewed. There was also evidence of resident/family input into the care planning process. Staff understood the principles of open disclosure, which is supported by policies and procedures that meet the requirements of the Code. </w:t>
            </w:r>
          </w:p>
          <w:p w:rsidR="00EB7645" w:rsidRPr="00BE00C7" w:rsidP="00BE00C7">
            <w:pPr>
              <w:pStyle w:val="OutcomeDescription"/>
              <w:spacing w:before="120" w:after="120"/>
              <w:rPr>
                <w:rFonts w:cs="Arial"/>
                <w:b w:val="0"/>
                <w:lang w:eastAsia="en-NZ"/>
              </w:rPr>
            </w:pPr>
            <w:r w:rsidRPr="00BE00C7">
              <w:rPr>
                <w:rFonts w:cs="Arial"/>
                <w:b w:val="0"/>
                <w:lang w:eastAsia="en-NZ"/>
              </w:rPr>
              <w:t>Interpreter services can be accessed via the WCDHB. Staff knew how to access this service though reported interpreter services were rarely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strategic and business plans, which are reviewed annually, outline the purpose, values, scope, direction and goals of HLL with specific reference to Granger House Lifecare. The documents described annual and long-term objectives and the associated operational plans. A sample of weekly reports to the Heritage Lifecare Limited (HLL) senior management  showed adequate information to monitor performance is reported including occupancy, financial performance, emerging risks, staffing, complaints, incidents and adverse events.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is managed by a FM who holds relevant qualifications and has been in the role for one month. Prior to her appointment, another FM was in the role, overseen by HLL management team, and had been in her position for approximately one year.  Responsibilities and accountabilities are defined in a job description and individual employment agreement. The FM confirmed knowledge of the sector, regulatory and reporting requirements and maintains currency through sector and organisational meetings. </w:t>
            </w:r>
          </w:p>
          <w:p w:rsidR="00EB7645" w:rsidRPr="00BE00C7" w:rsidP="00BE00C7">
            <w:pPr>
              <w:pStyle w:val="OutcomeDescription"/>
              <w:spacing w:before="120" w:after="120"/>
              <w:rPr>
                <w:rFonts w:cs="Arial"/>
                <w:b w:val="0"/>
                <w:lang w:eastAsia="en-NZ"/>
              </w:rPr>
            </w:pPr>
            <w:r w:rsidRPr="00BE00C7">
              <w:rPr>
                <w:rFonts w:cs="Arial"/>
                <w:b w:val="0"/>
                <w:lang w:eastAsia="en-NZ"/>
              </w:rPr>
              <w:t>The service holds contracts with the Ministry of Health (MoH) for Young Persons with a Disability (YPD), Canterbury District Health Board (DHB) for respite, complex medical conditions, rest home and palliative care. Fifty-nine residents were receiving services under the contract at the time of the audit. Twelve rest home residents including one YPD, 47 Hospital level care residents, including three YPD. There were no palliative care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When the FM is absent, an HLL interim FM will carry out all the required duties under delegated authority. During absences of key clinical staff, the clinical management is overseen by another registered nurse (RN) who is experienced in the sector and able to take responsibility for any clinical issues that may arise. Staff reported the current arrangements with HLL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has a planned quality and risk system that reflects the principles of continuous quality improvement. This includes management of incidents and complaints, audit activities, a regular patient satisfaction survey, monitoring of outcomes, clinical incidents including infections and adverse events. </w:t>
            </w:r>
          </w:p>
          <w:p w:rsidR="00EB7645" w:rsidRPr="00BE00C7" w:rsidP="00BE00C7">
            <w:pPr>
              <w:pStyle w:val="OutcomeDescription"/>
              <w:spacing w:before="120" w:after="120"/>
              <w:rPr>
                <w:rFonts w:cs="Arial"/>
                <w:b w:val="0"/>
                <w:lang w:eastAsia="en-NZ"/>
              </w:rPr>
            </w:pPr>
            <w:r w:rsidRPr="00BE00C7">
              <w:rPr>
                <w:rFonts w:cs="Arial"/>
                <w:b w:val="0"/>
                <w:lang w:eastAsia="en-NZ"/>
              </w:rPr>
              <w:t>Meeting minutes reviewed confirmed regular review and analysis of quality indicators and that related information is reported and discussed at the management team meeting, quality meetings and staff meetings. Staff reported their involvement in quality and risk management activities through audit activities, and participation at meetings. Relevant corrective actions are developed and implemented to address any shortfalls. Resident and family satisfaction surveys are completed annually. The most recent survey has not yet been analysed. The survey is at support office at the time of audit, so no outcomes were able to be reviewed.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reviewed cover all necessary aspects of the service and contractual requirements, including reference to the interRAI Long Term Care Facility (LTCF) assessment tool and process.  Policies are based on best practice and were current. HLL document control system ensures a systematic and regular review process, referencing of relevant sources, approval, distribution and removal of obsolete documents.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FM described the processes for the identification, monitoring, review and reporting of risks and development of mitigation strategies. The manager is familiar with the Health and Safety at Work Act (2015) and has implemented requirements.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document adverse and near miss events on an incident form. A sample of incidents forms reviewed showed these were fully completed, incidents were investigated, action plans developed and actions followed-up in a timely manner.  Adverse event data is collated, analysed and reported to support office via the facility’s management team.</w:t>
            </w:r>
          </w:p>
          <w:p w:rsidR="00EB7645" w:rsidRPr="00BE00C7" w:rsidP="00BE00C7">
            <w:pPr>
              <w:pStyle w:val="OutcomeDescription"/>
              <w:spacing w:before="120" w:after="120"/>
              <w:rPr>
                <w:rFonts w:cs="Arial"/>
                <w:b w:val="0"/>
                <w:lang w:eastAsia="en-NZ"/>
              </w:rPr>
            </w:pPr>
            <w:r w:rsidRPr="00BE00C7">
              <w:rPr>
                <w:rFonts w:cs="Arial"/>
                <w:b w:val="0"/>
                <w:lang w:eastAsia="en-NZ"/>
              </w:rPr>
              <w:t>The FM described essential notification reporting requirements, including for pressure injuries.  They advised there have been six notifications of significant events made to the Ministry of Health since the previous audit, including the new appointment of the FM. All have been resolved with approved action plans in place as appropriate.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The recruitment process includes referee checks, police vetting and validation of qualifications and practising certificates (APCs), where required.  A sample of staff records reviewed confirmed the organisation’s policies are being consistently implemented and records are maintained.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orientation includes all necessary components relevant to the role. Staff reported that the orientation process prepared them well for their role.  Staff records reviewed show documentation of completed orientation and a performance review after three-months and then annually.  </w:t>
            </w:r>
          </w:p>
          <w:p w:rsidR="00EB7645" w:rsidRPr="00BE00C7" w:rsidP="00BE00C7">
            <w:pPr>
              <w:pStyle w:val="OutcomeDescription"/>
              <w:spacing w:before="120" w:after="120"/>
              <w:rPr>
                <w:rFonts w:cs="Arial"/>
                <w:b w:val="0"/>
                <w:lang w:eastAsia="en-NZ"/>
              </w:rPr>
            </w:pPr>
            <w:r w:rsidRPr="00BE00C7">
              <w:rPr>
                <w:rFonts w:cs="Arial"/>
                <w:b w:val="0"/>
                <w:lang w:eastAsia="en-NZ"/>
              </w:rPr>
              <w:t>Continuing education is planned on an annual basis, including mandatory training requirements. Care staff have either completed or commenced a New Zealand Qualification Authority education programme to meet the requirements of the provider’s agreement with the DHB. A staff member is the internal assessor for the programme. There are sufficient trained and competent registered nurses who are maintaining their annual competency requirements to undertake interRAI assessments. Records reviewed demonstrated completion of the required training and completion of annual performance appraisals. Registered nurses have all completed palliative care training in 2018 and are syringe driver competent. Palliative care training was provided to four care staff in November 2018 with a plan to repeat the session early 2019.</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and implemented process for determining staffing levels and skill mixes to provide safe service delivery, 24 hours a day, seven days a week (24/7). The facility adjusts staffing levels to meet the changing needs of residents.  An afterhours on call roster is in place, with staff reporting that good access to advice is available when needed.  Care staff reported there were adequate staff available to complete the work allocated to them.  Residents and family members interviewed supported this. Observations and review of four weeks of rosters confirmed adequate staff cover has been provided, with staff replaced in any unplanned absence.  At least one staff member on duty has a current first aid certificate and there is 24 hour/seven days a week (24//7) RN coverage in the hospital. While there has been high staff turnover in the past, current staff reported more stability with staff and satisfaction with HLL management and input and feel confident with the current management team.</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name, date of birth and National Health Index (NHI) number were used on labels as the unique identifier on all residents’ information sighted. All necessary demographic, personal, clinical and health information was fully completed in the residents’ files sampled for review. Clinical notes were current and integrated with GP and allied health service provider notes. Records were legible with the name and designation of the person making the entry identifiable.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Archived records are held securely on site and are readily retrievable using a cataloguing system. </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r w:rsidRPr="00BE00C7">
              <w:rPr>
                <w:rFonts w:cs="Arial"/>
                <w:b w:val="0"/>
                <w:lang w:eastAsia="en-NZ"/>
              </w:rPr>
              <w:t>Electronic medication records are stored in a secure portal.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can be admitted to Granger House when their required level of care has been assessed and confirmed by the local Needs Assessment and Service Coordination (NASC) Service. Prospective residents and/or their families are encouraged to visit the facility prior to admission and meet with the facility manager (FM) or the clinical services manager (CSM). They are also provided with written information about the service and the admission process.</w:t>
            </w:r>
          </w:p>
          <w:p w:rsidR="00EB7645" w:rsidRPr="00BE00C7" w:rsidP="00BE00C7">
            <w:pPr>
              <w:pStyle w:val="OutcomeDescription"/>
              <w:spacing w:before="120" w:after="120"/>
              <w:rPr>
                <w:rFonts w:cs="Arial"/>
                <w:b w:val="0"/>
                <w:lang w:eastAsia="en-NZ"/>
              </w:rPr>
            </w:pPr>
            <w:r w:rsidRPr="00BE00C7">
              <w:rPr>
                <w:rFonts w:cs="Arial"/>
                <w:b w:val="0"/>
                <w:lang w:eastAsia="en-NZ"/>
              </w:rPr>
              <w:t>Family members interviewed stated they were satisfied with the admission process and the information that had been made available to them on admission. Files reviewed contained completed demographic detail, assessments and signed admission agreements in accordance with contractual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as appropriate. The service uses the WCDHB ‘yellow envelope’ system to facilitate transfer of residents to and from acute care services. There is open communication between all services, the resident and the family. At the time of transition between services, appropriate information, including medication records and the care plan is provided for the ongoing management of the resident. All referrals are documented in the progress notes.  An example reviewed of a patient recently transferred to the local acute care facility showed transfer was managed in a planned and co-ordinated manner. Family of the resident reported being kept well informed during the transfer of their relative.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medication management policy was current and identifies all aspects of medicine management in line with the Medicines Care Guide for Residential Aged Care.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safe system for medicine management using an electronic system was observed on the day of audit. The staff observed demonstrated good knowledge and had a clear understanding of their roles and responsibilities related to each stage of medicine management. All staff who administer medicines are competent to perform the function they manage.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Medications are supplied to the facility in a pre-packaged format from a contracted pharmacy. These medications are checked by a RN against the prescription. All medications sighted were within current use by dates. Clinical pharmacist input is provided on request. </w:t>
            </w:r>
          </w:p>
          <w:p w:rsidR="00EB7645" w:rsidRPr="00BE00C7" w:rsidP="00BE00C7">
            <w:pPr>
              <w:pStyle w:val="OutcomeDescription"/>
              <w:spacing w:before="120" w:after="120"/>
              <w:rPr>
                <w:rFonts w:cs="Arial"/>
                <w:b w:val="0"/>
                <w:lang w:eastAsia="en-NZ"/>
              </w:rPr>
            </w:pPr>
            <w:r w:rsidRPr="00BE00C7">
              <w:rPr>
                <w:rFonts w:cs="Arial"/>
                <w:b w:val="0"/>
                <w:lang w:eastAsia="en-NZ"/>
              </w:rPr>
              <w:t>Controlled drugs are stored securely in accordance with requirements. Controlled drugs are checked by two staff for accuracy in administration. The controlled drug register provided evidence of weekly and six-monthly stock checks and accurate entries.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records of temperatures for the medicine fridge and the medication room reviewed were within the recommended range.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Good prescribing practices noted included the prescriber’s signature and date recorded on the commencement and discontinuation of medicines and all requirements for pro re nata (PRN) medicines met. The required three-monthly GP review was consistently recorded on the electronic medicine chart.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two residents who self-administer medications at the time of audit. Appropriate processes were in place to ensure this was managed in a safe manner.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Medication errors are reported to the RN and CSM and recorded on an accident/incident form. The resident and/or the designated representative are advised. There is a process for comprehensive analysis of any medication errors, and compliance with this process was verified. </w:t>
            </w:r>
          </w:p>
          <w:p w:rsidR="00EB7645" w:rsidRPr="00BE00C7" w:rsidP="00BE00C7">
            <w:pPr>
              <w:pStyle w:val="OutcomeDescription"/>
              <w:spacing w:before="120" w:after="120"/>
              <w:rPr>
                <w:rFonts w:cs="Arial"/>
                <w:b w:val="0"/>
                <w:lang w:eastAsia="en-NZ"/>
              </w:rPr>
            </w:pPr>
            <w:r w:rsidRPr="00BE00C7">
              <w:rPr>
                <w:rFonts w:cs="Arial"/>
                <w:b w:val="0"/>
                <w:lang w:eastAsia="en-NZ"/>
              </w:rPr>
              <w:t>Standing orders are not used.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food service is provided on site by a cook and is in line with recognised nutritional guidelines for older people. The menu follows summer and winter patterns and has been reviewed by a qualified dietitian (4-May-2018). Recommendations made at that time have been implemented.</w:t>
            </w:r>
          </w:p>
          <w:p w:rsidR="00EB7645" w:rsidRPr="00BE00C7" w:rsidP="00BE00C7">
            <w:pPr>
              <w:pStyle w:val="OutcomeDescription"/>
              <w:spacing w:before="120" w:after="120"/>
              <w:rPr>
                <w:rFonts w:cs="Arial"/>
                <w:b w:val="0"/>
                <w:lang w:eastAsia="en-NZ"/>
              </w:rPr>
            </w:pPr>
            <w:r w:rsidRPr="00BE00C7">
              <w:rPr>
                <w:rFonts w:cs="Arial"/>
                <w:b w:val="0"/>
                <w:lang w:eastAsia="en-NZ"/>
              </w:rPr>
              <w:t>A food control plan was registered with the Grey District Council and expires 17-January-2019.</w:t>
            </w:r>
          </w:p>
          <w:p w:rsidR="00EB7645" w:rsidRPr="00BE00C7" w:rsidP="00BE00C7">
            <w:pPr>
              <w:pStyle w:val="OutcomeDescription"/>
              <w:spacing w:before="120" w:after="120"/>
              <w:rPr>
                <w:rFonts w:cs="Arial"/>
                <w:b w:val="0"/>
                <w:lang w:eastAsia="en-NZ"/>
              </w:rPr>
            </w:pPr>
            <w:r w:rsidRPr="00BE00C7">
              <w:rPr>
                <w:rFonts w:cs="Arial"/>
                <w:b w:val="0"/>
                <w:lang w:eastAsia="en-NZ"/>
              </w:rPr>
              <w:t>All aspects of food procurement, production, preparation, storage, transportation, delivery and disposal comply with current legislation and guidelines. Food temperatures, including for high risk items, are monitored appropriately and recorded as part of the plan. The cook has undertaken a safe food handling qualification in the past and is enrolled to do an update.</w:t>
            </w:r>
          </w:p>
          <w:p w:rsidR="00EB7645" w:rsidRPr="00BE00C7" w:rsidP="00BE00C7">
            <w:pPr>
              <w:pStyle w:val="OutcomeDescription"/>
              <w:spacing w:before="120" w:after="120"/>
              <w:rPr>
                <w:rFonts w:cs="Arial"/>
                <w:b w:val="0"/>
                <w:lang w:eastAsia="en-NZ"/>
              </w:rPr>
            </w:pPr>
            <w:r w:rsidRPr="00BE00C7">
              <w:rPr>
                <w:rFonts w:cs="Arial"/>
                <w:b w:val="0"/>
                <w:lang w:eastAsia="en-NZ"/>
              </w:rPr>
              <w:t>A nutritional assessment is undertaken for each resident on admission to the facility and a dietary profile developed. The personal food preferences, any special diets and modified texture requirements are made known to kitchen staff and accommodated in the daily meal plan. Special equipment, to meet resident’s nutritional needs, is available.</w:t>
            </w:r>
          </w:p>
          <w:p w:rsidR="00EB7645" w:rsidRPr="00BE00C7" w:rsidP="00BE00C7">
            <w:pPr>
              <w:pStyle w:val="OutcomeDescription"/>
              <w:spacing w:before="120" w:after="120"/>
              <w:rPr>
                <w:rFonts w:cs="Arial"/>
                <w:b w:val="0"/>
                <w:lang w:eastAsia="en-NZ"/>
              </w:rPr>
            </w:pPr>
            <w:r w:rsidRPr="00BE00C7">
              <w:rPr>
                <w:rFonts w:cs="Arial"/>
                <w:b w:val="0"/>
                <w:lang w:eastAsia="en-NZ"/>
              </w:rPr>
              <w:t>Evidence of resident satisfaction with meals was verified by resident and family interviews, and resident meeting minutes. Any areas of dissatisfaction were promptly responded to. Residents were seen to be given time to eat their meal in an unhurried fashion and those requiring assistance had this provided. There are enough staff on duty in the dining rooms at meal times to ensure appropriate assistance is available to residents as needed. Staff members were observed sitting down and assisting residents with their meals in a relaxed atmosphere.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If a referral is received, and the prospective resident does not meet the entry criteria, or there is currently no vacancy, the local NASC is advised to ensure the prospective resident and family are supported to find an appropriate care alternative. If the needs of a resident change and they are no longer suitable for the services offered, a referral for reassessment to the NASC is made and a new placement found, in consultation with the resident and whānau/family. Examples of this occurring were discussed with the CSM. There is a clause in the access agreement related to when a resident’s placement can be terminated.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On admission, residents of Granger House are initially assessed using a range of nursing assessment tools, such as pain scale, falls risk, skin integrity, nutritional screening and depression scale, to identify any deficits and to inform initial care planning. In all files reviewed, initial assessments are completed within 24 hours of admission. Within three weeks of admission, residents are assessed using the interRAI assessment tool, to inform long term care planning. Reassessment using the interRAI assessment tool, in conjunction with additional assessment data, occurs every six months or more frequently as residents’ changing conditions require. All resident files reviewed have current interRAI assessments completed by one of the three trained interRAI assessors on site.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Reassessments were sighted in relation to residents requiring specialist input from mental health services, wound management input and weight loss, with referrals made as deemed necessary by the resident’s GP  </w:t>
            </w:r>
          </w:p>
          <w:p w:rsidR="00EB7645" w:rsidRPr="00BE00C7" w:rsidP="00BE00C7">
            <w:pPr>
              <w:pStyle w:val="OutcomeDescription"/>
              <w:spacing w:before="120" w:after="120"/>
              <w:rPr>
                <w:rFonts w:cs="Arial"/>
                <w:b w:val="0"/>
                <w:lang w:eastAsia="en-NZ"/>
              </w:rPr>
            </w:pPr>
            <w:r w:rsidRPr="00BE00C7">
              <w:rPr>
                <w:rFonts w:cs="Arial"/>
                <w:b w:val="0"/>
                <w:lang w:eastAsia="en-NZ"/>
              </w:rPr>
              <w: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Six of thirteen files reviewed evidenced care plans reflected the support needs of residents and the outcomes of the integrated assessment process and other relevant clinical information. In particular, the needs of the residents were identified by the interRAI assessments.</w:t>
              <w:br/>
              <w:br/>
              <w:t xml:space="preserve">These six care plans sighted consistently evidenced service integration with progress notes, activities note, medical and allied health professionals’ notations clearly written, informative and relevant. Any change in care required was documented and verbally passed on to relevant staff. Residents and families reported participation in the development and ongoing evaluation of care plans. </w:t>
            </w:r>
          </w:p>
          <w:p w:rsidR="00EB7645" w:rsidRPr="00BE00C7" w:rsidP="00BE00C7">
            <w:pPr>
              <w:pStyle w:val="OutcomeDescription"/>
              <w:spacing w:before="120" w:after="120"/>
              <w:rPr>
                <w:rFonts w:cs="Arial"/>
                <w:b w:val="0"/>
                <w:lang w:eastAsia="en-NZ"/>
              </w:rPr>
            </w:pPr>
            <w:r w:rsidRPr="00BE00C7">
              <w:rPr>
                <w:rFonts w:cs="Arial"/>
                <w:b w:val="0"/>
                <w:lang w:eastAsia="en-NZ"/>
              </w:rPr>
              <w:t>Seven of thirteen files reviewed required attention to care plan documentation as they did not fully describe all the required support the residents’ needed to meet their assessed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Except for those file referred to in 1.3.5.2, documentation, observations and interviews verified the provision of care provided to residents was consistent with their needs, goals and the plan of care. The attention to meeting a diverse range of resident’s individualised needs was evident in all areas of service provision. Residents identified as losing weight were referred to the resident’s GP, who then decided whether a referral was needed. In all cases where a referral was made, dietician input was in place. Interview with the dietician, verified the service is responsive to the requests by the dietician, and residents referred had generally begun gaining weight with the addition of supplements. Interventions sighted around residents with previous pressure injuries and wounds evidenced the services ability to manage these appropriately and heal these.   </w:t>
            </w:r>
          </w:p>
          <w:p w:rsidR="00EB7645" w:rsidRPr="00BE00C7" w:rsidP="00BE00C7">
            <w:pPr>
              <w:pStyle w:val="OutcomeDescription"/>
              <w:spacing w:before="120" w:after="120"/>
              <w:rPr>
                <w:rFonts w:cs="Arial"/>
                <w:b w:val="0"/>
                <w:lang w:eastAsia="en-NZ"/>
              </w:rPr>
            </w:pPr>
            <w:r w:rsidRPr="00BE00C7">
              <w:rPr>
                <w:rFonts w:cs="Arial"/>
                <w:b w:val="0"/>
                <w:lang w:eastAsia="en-NZ"/>
              </w:rPr>
              <w:t>Care staff confirmed that care was provided as outlined in the documentation, handovers or verbal one to one direction.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A range of equipment and resources was available, suited to the levels of care provided and in accordance with the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activities programme is provided by three trained diversional therapists, six days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social assessment and history are undertaken on admission to ascertain residents’ needs, interests, abilities and social requirements. Activities assessments are regularly reviewed to help formulate an activities programme that is meaningful to the residents. The resident’s activity needs are evaluated regularly and as part of the formal six-monthly care plan review.   </w:t>
            </w:r>
          </w:p>
          <w:p w:rsidR="00EB7645" w:rsidRPr="00BE00C7" w:rsidP="00BE00C7">
            <w:pPr>
              <w:pStyle w:val="OutcomeDescription"/>
              <w:spacing w:before="120" w:after="120"/>
              <w:rPr>
                <w:rFonts w:cs="Arial"/>
                <w:b w:val="0"/>
                <w:lang w:eastAsia="en-NZ"/>
              </w:rPr>
            </w:pPr>
            <w:r w:rsidRPr="00BE00C7">
              <w:rPr>
                <w:rFonts w:cs="Arial"/>
                <w:b w:val="0"/>
                <w:lang w:eastAsia="en-NZ"/>
              </w:rPr>
              <w:t>The planned monthly activities programme sighted matched the skills, likes, dislikes and interests identified in assessment data. Activities reflected residents’ goals, ordinary patterns of life and included normal community activities. Individual, group activities and regular events are offered. Examples included visiting entertainers, seated volleyball, bowls, chorus group, attendance at the west coast rest home games quiz sessions and daily news updates. The activities programme is discussed at the monthly minuted residents’ meetings, and two monthly family meetings and indicated residents’ and family input is sought and responded to. A residents and family newsletters keep everyone up to date with what is happening at Granger House. Van outings are held twice a week.</w:t>
            </w:r>
          </w:p>
          <w:p w:rsidR="00EB7645" w:rsidRPr="00BE00C7" w:rsidP="00BE00C7">
            <w:pPr>
              <w:pStyle w:val="OutcomeDescription"/>
              <w:spacing w:before="120" w:after="120"/>
              <w:rPr>
                <w:rFonts w:cs="Arial"/>
                <w:b w:val="0"/>
                <w:lang w:eastAsia="en-NZ"/>
              </w:rPr>
            </w:pPr>
            <w:r w:rsidRPr="00BE00C7">
              <w:rPr>
                <w:rFonts w:cs="Arial"/>
                <w:b w:val="0"/>
                <w:lang w:eastAsia="en-NZ"/>
              </w:rPr>
              <w:t>Residents interviewed confirmed they find the programme meets their needs, including the needs of the residents under 65 years.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 care is evaluated on each shift and reported in the progress notes. If any change is noted, it is reported to the RN. </w:t>
            </w:r>
          </w:p>
          <w:p w:rsidR="00EB7645" w:rsidRPr="00BE00C7" w:rsidP="00BE00C7">
            <w:pPr>
              <w:pStyle w:val="OutcomeDescription"/>
              <w:spacing w:before="120" w:after="120"/>
              <w:rPr>
                <w:rFonts w:cs="Arial"/>
                <w:b w:val="0"/>
                <w:lang w:eastAsia="en-NZ"/>
              </w:rPr>
            </w:pPr>
            <w:r w:rsidRPr="00BE00C7">
              <w:rPr>
                <w:rFonts w:cs="Arial"/>
                <w:b w:val="0"/>
                <w:lang w:eastAsia="en-NZ"/>
              </w:rPr>
              <w:t>Formal care plan evaluations occur every six months in conjunction with the six-monthly interRAI reassessment or as residents’ needs change. The RN documents evaluations. Where progress is different from expected, the service responds by initiating changes to the plan of care. Examples of short-term care plans were consistently reviewed for infections, pain, and weight loss, and progress evaluated as clinically indicated and according to the degree of risk noted during the assessment process. Other plans, such as wound management plans, were evaluated each time the dressing was changed. Residents and families/whānau interviewed provided examples of involvement in evaluation of progress and any resulting changes.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supported to access or seek referral to other health and/or disability service providers. Although the service has a main medical provider, residents may choose to use another medical practitioner. If the need for other non-urgent services are indicated or requested, the GP or CSM sends a referral to seek specialist input. Copies of referrals were sighted in residents’ files, including to older persons’ mental health services. Referrals are followed up on a regular basis by the CSM or the GP. The resident and the family are kept informed of the referral process, as verified by documentation and interviews. Any acute/urgent referrals are attended to immediately, such as sending the resident to accident and emergency in an ambulance if the circumstances dictate.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 follow documented processes for the management of waste and infectious and hazardous substances.  Appropriate signage is displayed where necessary. There is a designated chemical handler who has completed the required chemical handling training. An external company is contracted to supply and manage all chemicals and cleaning products and they also provide relevant training for staff and audit for effectiveness of chemicals. Material safety data sheets were available where chemicals are stored, and staff interviewed knew what to do should any chemical spill occur.  </w:t>
            </w:r>
          </w:p>
          <w:p w:rsidR="00EB7645" w:rsidRPr="00BE00C7" w:rsidP="00BE00C7">
            <w:pPr>
              <w:pStyle w:val="OutcomeDescription"/>
              <w:spacing w:before="120" w:after="120"/>
              <w:rPr>
                <w:rFonts w:cs="Arial"/>
                <w:b w:val="0"/>
                <w:lang w:eastAsia="en-NZ"/>
              </w:rPr>
            </w:pPr>
            <w:r w:rsidRPr="00BE00C7">
              <w:rPr>
                <w:rFonts w:cs="Arial"/>
                <w:b w:val="0"/>
                <w:lang w:eastAsia="en-NZ"/>
              </w:rPr>
              <w:t>There is provision and availability of protective clothing and equipment and staff were observed using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 current building warrant of fitness (expiry date 01 July 2019) is publicly displayed.  </w:t>
            </w:r>
          </w:p>
          <w:p w:rsidR="00EB7645" w:rsidRPr="00BE00C7" w:rsidP="00BE00C7">
            <w:pPr>
              <w:pStyle w:val="OutcomeDescription"/>
              <w:spacing w:before="120" w:after="120"/>
              <w:rPr>
                <w:rFonts w:cs="Arial"/>
                <w:b w:val="0"/>
                <w:lang w:eastAsia="en-NZ"/>
              </w:rPr>
            </w:pPr>
            <w:r w:rsidRPr="00BE00C7">
              <w:rPr>
                <w:rFonts w:cs="Arial"/>
                <w:b w:val="0"/>
                <w:lang w:eastAsia="en-NZ"/>
              </w:rPr>
              <w:t>Appropriate systems are in place to ensure the residents’ physical environment and facilities are fit for their purpose and maintained. The testing and tagging of electrical equipment and calibration of bio medical equipment was current as confirmed in documentation reviewed, interviews with maintenance personnel and observation of the environment. The environment was hazard free, residents were safe, and independence was promoted.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External areas are safely maintained and are appropriate to the resident groups and setting.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confirmed they know the processes they should follow if any repairs or maintenance is required and any requests are appropriately actioned. Residents confirmed that they are happy with the environment.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This includes communal facilities and one full ensuite bedroom. Appropriately secured and approved handrails are provided in the toilet/shower areas, and other equipment and accessories are available to promote residents’ independence.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Adequate personal space is provided to allow residents and staff to move around within their bedrooms safely.  All bedrooms provide single accommodation. Rooms are personalised with furnishings, photos and other personal items displayed. </w:t>
            </w:r>
          </w:p>
          <w:p w:rsidR="00EB7645" w:rsidRPr="00BE00C7" w:rsidP="00BE00C7">
            <w:pPr>
              <w:pStyle w:val="OutcomeDescription"/>
              <w:spacing w:before="120" w:after="120"/>
              <w:rPr>
                <w:rFonts w:cs="Arial"/>
                <w:b w:val="0"/>
                <w:lang w:eastAsia="en-NZ"/>
              </w:rPr>
            </w:pPr>
            <w:r w:rsidRPr="00BE00C7">
              <w:rPr>
                <w:rFonts w:cs="Arial"/>
                <w:b w:val="0"/>
                <w:lang w:eastAsia="en-NZ"/>
              </w:rPr>
              <w:t>There is room to store mobility aids, wheel chairs and mobility scooters. Staff and residents reported the adequacy of bedrooms.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and personal conversations. The dining and lounge areas are spacious and enable easy access for residents and staff.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Laundry is undertaken on site in a dedicated laundry. Dedicated laundry staff demonstrated a sound knowledge of the laundry processes, dirty/clean flow and handling of soiled linen. Residents interviewed reported the laundry is managed well and their clothes are returned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small designated cleaning team who have received appropriate training, as confirmed in interview of cleaning staff and training records.  Chemicals were stored in a lockable cupboard and were in appropriately labelled containers. </w:t>
            </w:r>
          </w:p>
          <w:p w:rsidR="00EB7645" w:rsidRPr="00BE00C7" w:rsidP="00BE00C7">
            <w:pPr>
              <w:pStyle w:val="OutcomeDescription"/>
              <w:spacing w:before="120" w:after="120"/>
              <w:rPr>
                <w:rFonts w:cs="Arial"/>
                <w:b w:val="0"/>
                <w:lang w:eastAsia="en-NZ"/>
              </w:rPr>
            </w:pPr>
            <w:r w:rsidRPr="00BE00C7">
              <w:rPr>
                <w:rFonts w:cs="Arial"/>
                <w:b w:val="0"/>
                <w:lang w:eastAsia="en-NZ"/>
              </w:rPr>
              <w:t>Cleaning and laundry processes are monitored through the internal audit programme, and effectiveness of chemicals by the external contractor.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guidelines for emergency planning, preparation and response are displayed and known to staff. Disaster and civil defence planning guides direct the facility in their preparation for disasters and described the procedures to be followed in the event of a fire or other emergency. The current fire evacuation plan was approved by the New Zealand Fire Service on the 12 April 2012.  A trial evacuation takes place six-monthly with a copy sent to the New Zealand Fire Service, the most recent being on 16 August 2018. The orientation programme includes fire and security training.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Adequate supplies for use in the event of a civil defence emergency, including food, water, blankets, mobile phones and gas BBQ’s were sighted and meet the requirements for seventy residents. Water storage tanks are located around the complex, and there is a generator on site. Emergency lighting is regularly tested.</w:t>
            </w:r>
          </w:p>
          <w:p w:rsidR="00EB7645" w:rsidRPr="00BE00C7" w:rsidP="00BE00C7">
            <w:pPr>
              <w:pStyle w:val="OutcomeDescription"/>
              <w:spacing w:before="120" w:after="120"/>
              <w:rPr>
                <w:rFonts w:cs="Arial"/>
                <w:b w:val="0"/>
                <w:lang w:eastAsia="en-NZ"/>
              </w:rPr>
            </w:pPr>
            <w:r w:rsidRPr="00BE00C7">
              <w:rPr>
                <w:rFonts w:cs="Arial"/>
                <w:b w:val="0"/>
                <w:lang w:eastAsia="en-NZ"/>
              </w:rPr>
              <w:t>Call bells alert staff to residents requiring assistance.  Call system audits are completed on a regular basis and residents and families reported staff respond promptly to call bells.</w:t>
            </w:r>
          </w:p>
          <w:p w:rsidR="00EB7645" w:rsidRPr="00BE00C7" w:rsidP="00BE00C7">
            <w:pPr>
              <w:pStyle w:val="OutcomeDescription"/>
              <w:spacing w:before="120" w:after="120"/>
              <w:rPr>
                <w:rFonts w:cs="Arial"/>
                <w:b w:val="0"/>
                <w:lang w:eastAsia="en-NZ"/>
              </w:rPr>
            </w:pPr>
            <w:r w:rsidRPr="00BE00C7">
              <w:rPr>
                <w:rFonts w:cs="Arial"/>
                <w:b w:val="0"/>
                <w:lang w:eastAsia="en-NZ"/>
              </w:rPr>
              <w:t>Appropriate security arrangements are in place. Doors and windows are locked at a predetermined time.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All residents’ rooms and communal areas are heated and ventilated appropriately.  Rooms have natural light, opening external windows. Heating is provided by either fan or electric panel heaters in residents’ rooms and night stores in hallways and in the communal areas. Areas were warm and well ventilated throughout the audit and residents and families confirmed the facilities are maintained at a comfortable temperature.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provides a managed environment that minimises the risk of infection to residents, staff and visitors by the implementation of an appropriate infection prevention and control (IPC) programme. Infection control management is guided by a comprehensive and current infection control manual, developed at organisational level with input from the CSM. The infection control programme is reviewed annually.  </w:t>
            </w:r>
          </w:p>
          <w:p w:rsidR="00EB7645" w:rsidRPr="00BE00C7" w:rsidP="00BE00C7">
            <w:pPr>
              <w:pStyle w:val="OutcomeDescription"/>
              <w:spacing w:before="120" w:after="120"/>
              <w:rPr>
                <w:rFonts w:cs="Arial"/>
                <w:b w:val="0"/>
                <w:lang w:eastAsia="en-NZ"/>
              </w:rPr>
            </w:pPr>
            <w:r w:rsidRPr="00BE00C7">
              <w:rPr>
                <w:rFonts w:cs="Arial"/>
                <w:b w:val="0"/>
                <w:lang w:eastAsia="en-NZ"/>
              </w:rPr>
              <w:t>The CSM at Granger House is the designated infection control nurse (ICN) whose role and responsibilities are defined in a job description. Infection control matters, including surveillance results, are reported monthly to the FM and tabled at the quality meeting. Infection control statistics are entered in the organisation’s electronic database and benchmarked within the organisation’s other facilities. The organisation’s quality team and operations manager are informed of any IPC concern.</w:t>
            </w:r>
          </w:p>
          <w:p w:rsidR="00EB7645" w:rsidRPr="00BE00C7" w:rsidP="00BE00C7">
            <w:pPr>
              <w:pStyle w:val="OutcomeDescription"/>
              <w:spacing w:before="120" w:after="120"/>
              <w:rPr>
                <w:rFonts w:cs="Arial"/>
                <w:b w:val="0"/>
                <w:lang w:eastAsia="en-NZ"/>
              </w:rPr>
            </w:pPr>
            <w:r w:rsidRPr="00BE00C7">
              <w:rPr>
                <w:rFonts w:cs="Arial"/>
                <w:b w:val="0"/>
                <w:lang w:eastAsia="en-NZ"/>
              </w:rPr>
              <w:t>Signage at the main entrance to the facility requests anyone who is or has been unwell in the past 48 hours not to enter the facility. The infection control manual provides guidance for staff about how long they must stay away from work if they have been unwell. Staff interviewed understood these related responsibilities.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ICN has appropriate skills, knowledge and qualifications for the role. The ICN has undertaken post graduate training in infection prevention and control and attended relevant study days, as verified in training records sighted. Well-established local networks with the infection control team at the WCDHB are available and expert advice from the organisation’s clinical and quality improvement advisor is available if additional support/information is required. The ICN has access to residents’ records and diagnostic results to ensure timely treatment and resolution of any infections.</w:t>
            </w:r>
          </w:p>
          <w:p w:rsidR="00EB7645" w:rsidRPr="00BE00C7" w:rsidP="00BE00C7">
            <w:pPr>
              <w:pStyle w:val="OutcomeDescription"/>
              <w:spacing w:before="120" w:after="120"/>
              <w:rPr>
                <w:rFonts w:cs="Arial"/>
                <w:b w:val="0"/>
                <w:lang w:eastAsia="en-NZ"/>
              </w:rPr>
            </w:pPr>
            <w:r w:rsidRPr="00BE00C7">
              <w:rPr>
                <w:rFonts w:cs="Arial"/>
                <w:b w:val="0"/>
                <w:lang w:eastAsia="en-NZ"/>
              </w:rPr>
              <w:t>The ICN confirmed the availability of resources to support the programme and any outbreak of an infection.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IPC policies reflect the requirements of the IPC standard and current accepted good practice. Policies were reviewed within the last year and included appropriate referencing.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Care delivery, cleaning, laundry and kitchen staff were observed following organisational policies, such as appropriate use of hand-sanitisers, good hand-washing technique and use of disposable aprons and gloves, as was appropriate to the setting. Hand washing and sanitiser dispensers are readily available around the facility. Staff interviewed verified knowledge of infection control policies and practices.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Priorities for staff education are outlined in the infection control programme annual plan. Interviews, observation and documentation verified staff have received education in IPC at orientation and ongoing education sessions. Education is provided by the ICN. Content of the training was documented and evaluated to ensure it was relevant, current and understood. A record of attendance was maintained. When an infection outbreak or an increase in infection incidence has occurred, there is evidence that additional staff education has been provided in response. An example of this occurred when there was a recent increase in ESBL cases in residents admitted.</w:t>
            </w:r>
          </w:p>
          <w:p w:rsidR="00EB7645" w:rsidRPr="00BE00C7" w:rsidP="00BE00C7">
            <w:pPr>
              <w:pStyle w:val="OutcomeDescription"/>
              <w:spacing w:before="120" w:after="120"/>
              <w:rPr>
                <w:rFonts w:cs="Arial"/>
                <w:b w:val="0"/>
                <w:lang w:eastAsia="en-NZ"/>
              </w:rPr>
            </w:pPr>
            <w:r w:rsidRPr="00BE00C7">
              <w:rPr>
                <w:rFonts w:cs="Arial"/>
                <w:b w:val="0"/>
                <w:lang w:eastAsia="en-NZ"/>
              </w:rPr>
              <w:t>Education with residents is generally on a one-to-one basis and has included reminders about handwashing, advice about remaining in their room if they are unwell and increasing fluids during hot weather.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Surveillance is appropriate to that recommended for long term care facilities, with infection definitions reflecting a focus on symptoms rather than laboratory results. These include urinary tract, soft tissue, fungal, eye, gastro-intestinal, the upper and lower respiratory tract and skin infections. When an infection is identified, a record of this is documented in the resident’s clinical record. New infections and any required management plan are discussed at handover, to ensure early intervention occurs.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ICN reviews all reported infections. Monthly surveillance data is collated and analysed to identify any trends, possible causative factors and required actions. Results of the surveillance programme are shared with staff via quality meetings and at staff handovers. Surveillance data is entered in the organisation’s electronic infection database.  Graphs are produced that identify trends for the current year, and comparisons against previous years which are on display in the staff room and evidences a reduction in infection rates. Data is benchmarked internally within the group’s other aged care providers.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and procedures meet the requirements of the restraint minimisation and safe practice standards and provide guidance on the safe use of both restraints and enablers. The restraint coordinator (CM) provides support and oversight for enabler and restraint management in the facility and demonstrated a sound understanding of the organisation’s policies, procedures and practice and her role and responsibilities.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On the day of audit, three residents were using restraints and five residents were using enablers, which were the least restrictive and used voluntarily at their request. A similar process is followed for the use of enablers as is used for restraints. </w:t>
            </w:r>
          </w:p>
          <w:p w:rsidR="00EB7645" w:rsidRPr="00BE00C7" w:rsidP="00BE00C7">
            <w:pPr>
              <w:pStyle w:val="OutcomeDescription"/>
              <w:spacing w:before="120" w:after="120"/>
              <w:rPr>
                <w:rFonts w:cs="Arial"/>
                <w:b w:val="0"/>
                <w:lang w:eastAsia="en-NZ"/>
              </w:rPr>
            </w:pPr>
            <w:r w:rsidRPr="00BE00C7">
              <w:rPr>
                <w:rFonts w:cs="Arial"/>
                <w:b w:val="0"/>
                <w:lang w:eastAsia="en-NZ"/>
              </w:rPr>
              <w:t>Restraint is used as a last resort when all alternatives have been explored. In each use of restraint, the resident was at risk of falling and unable to consent to have safety bedrails in place. This was evident on review of the restraint approval group minutes, files reviewed, and from interview with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restraint approval group, made up of the FM, CM and the GP, are responsible for the approval of the use of restraints and the restraint processes. It was evident from review of restraint approval group meeting minutes, residents’ files and interviews with the coordinator that there are clear lines of accountability, that all restraints have been approved, and the overall use of restraints is being monitored and analysed. </w:t>
            </w:r>
          </w:p>
          <w:p w:rsidR="00EB7645" w:rsidRPr="00BE00C7" w:rsidP="00BE00C7">
            <w:pPr>
              <w:pStyle w:val="OutcomeDescription"/>
              <w:spacing w:before="120" w:after="120"/>
              <w:rPr>
                <w:rFonts w:cs="Arial"/>
                <w:b w:val="0"/>
                <w:lang w:eastAsia="en-NZ"/>
              </w:rPr>
            </w:pPr>
            <w:r w:rsidRPr="00BE00C7">
              <w:rPr>
                <w:rFonts w:cs="Arial"/>
                <w:b w:val="0"/>
                <w:lang w:eastAsia="en-NZ"/>
              </w:rPr>
              <w:t>Evidence of family/EPOA involvement in the decision making was on file in each case. Use of a restraint or an enabler is part of the plan of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Assessments for the use of restraint were documented and included all requirements of the Standard. The RN undertakes the initial assessment with the restraint coordinator’s involvement, and input from the resident’s family/EPOA. The restraint coordinator described the documented process.  Families confirmed their involvement. The general practitioner is involved in the final decision on the safety of the use of the restraint and is part of the approval group. The assessment process identified the underlying cause, history of restraint use, cultural considerations, alternatives and associated risks. The desired outcome was to ensure the resident’s safety and security. Completed assessments were sighted in the records of residents who were using a restraint.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use of restraints is actively minimised, and the restraint coordinator described how alternatives to restraints are discussed with staff and family members, for example the use of sensor mats, and low beds.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When restraints are in use, frequent monitoring occurs to ensure the resident remains safe.  Records of monitoring had the necessary details. Access to advocacy is provided if requested and all processes ensure dignity and privacy are maintained and respected.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restraint register is maintained, updated every month and reviewed at each restraint approval group meeting. The register was reviewed and contained all residents currently using a restraint and sufficient information to provide an auditable record. </w:t>
            </w:r>
          </w:p>
          <w:p w:rsidR="00EB7645" w:rsidRPr="00BE00C7" w:rsidP="00BE00C7">
            <w:pPr>
              <w:pStyle w:val="OutcomeDescription"/>
              <w:spacing w:before="120" w:after="120"/>
              <w:rPr>
                <w:rFonts w:cs="Arial"/>
                <w:b w:val="0"/>
                <w:lang w:eastAsia="en-NZ"/>
              </w:rPr>
            </w:pPr>
            <w:r w:rsidRPr="00BE00C7">
              <w:rPr>
                <w:rFonts w:cs="Arial"/>
                <w:b w:val="0"/>
                <w:lang w:eastAsia="en-NZ"/>
              </w:rPr>
              <w:t>Staff have received training in the organisation’s policy and procedures and in related topics, such as positively supporting people with challenging behaviours. Staff spoken to understood that the use of restraint is to be minimised and how to maintain safety when in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files showed that the individual use of restraints is reviewed and evaluated during care plan and interRAI reviews, six monthly restraint evaluations and at the restraint approval group meetings.  Families interviewed confirmed their involvement in the evaluation process and their satisfaction with the restraint process.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evaluation covers all requirements of the Standard, including future options to eliminate use, the impact and outcomes achieved, if the policy and procedure was followed and documentation completed as required.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approval group undertakes a six-monthly review of all restraint use which includes all the requirements of this Standard. Six monthly restraint meetings and reports are completed, and individual use of restraint use is reported to the quality and staff meetings.  Minutes of meetings reviewed confirmed this includes analysis and evaluation of the amount and type of restraint use in the facility, whether all alternatives to restraint have been considered, the effectiveness of the restraint in use, the competency of staff and the appropriateness of restraint / enabler education and feedback from the doctor, staff and families. A six-monthly internal audit that is carried out also informs these meetings. Any changes to policies, guidelines, education and processes are implemented if indicated. Data reviewed, minutes and interviews with the FM confirmed that the use of restraint has been reduced over the past year.</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514"/>
        <w:gridCol w:w="1280"/>
        <w:gridCol w:w="7244"/>
        <w:gridCol w:w="2597"/>
        <w:gridCol w:w="13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1.3.5.2</w:t>
            </w:r>
          </w:p>
          <w:p w:rsidR="00EB7645" w:rsidRPr="00BE00C7" w:rsidP="00BE00C7">
            <w:pPr>
              <w:pStyle w:val="OutcomeDescription"/>
              <w:spacing w:before="120" w:after="120"/>
              <w:rPr>
                <w:rFonts w:cs="Arial"/>
                <w:b w:val="0"/>
                <w:lang w:eastAsia="en-NZ"/>
              </w:rPr>
            </w:pPr>
            <w:r w:rsidRPr="00BE00C7">
              <w:rPr>
                <w:rFonts w:cs="Arial"/>
                <w:b w:val="0"/>
                <w:lang w:eastAsia="en-NZ"/>
              </w:rPr>
              <w:t>Service delivery plans describe the required support and/or intervention to achieve the desired outcomes identified by the ongoing assessment process.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Seven of thirteen files reviewed did not fully describe the required support the resident needed.  Three of these concerned behaviour management. Assessments, medical diagnosis, progress notes, observations, interviews and behaviour monitoring charts indicated actual or potential episodes of challenging behaviour was being exhibited. Regular medication and pro re nata medications were prescribed, however there was no behaviour management plan in place identifying how to manage the behaviours if they occurred, nor evidence of monitoring the behaviours since the introduction of some medications. One of these residents was on a behaviour management medication that required regular blood tests, which were being undertaken. No alerts to staff about possible side effects to observe for was documented.</w:t>
            </w:r>
          </w:p>
          <w:p w:rsidR="00EB7645" w:rsidRPr="00BE00C7" w:rsidP="00BE00C7">
            <w:pPr>
              <w:pStyle w:val="OutcomeDescription"/>
              <w:spacing w:before="120" w:after="120"/>
              <w:rPr>
                <w:rFonts w:cs="Arial"/>
                <w:b w:val="0"/>
                <w:lang w:eastAsia="en-NZ"/>
              </w:rPr>
            </w:pPr>
            <w:r w:rsidRPr="00BE00C7">
              <w:rPr>
                <w:rFonts w:cs="Arial"/>
                <w:b w:val="0"/>
                <w:lang w:eastAsia="en-NZ"/>
              </w:rPr>
              <w:t>A resident requiring care round the management of incontinence had no accurate or up to date documentation to ensure management was consistent with the resident’s desired outcomes. RN management of an actual problem was as per the GP’s request. Interviews with the resident and daughter expressed dissatisfaction with the management by the RNs. The absence of documentation did not reflect a planned approach to management of the issue. The resident and family sought input from the Urology Department at the WCDHB, to rectify the immediate problem.</w:t>
            </w:r>
          </w:p>
          <w:p w:rsidR="00EB7645" w:rsidRPr="00BE00C7" w:rsidP="00BE00C7">
            <w:pPr>
              <w:pStyle w:val="OutcomeDescription"/>
              <w:spacing w:before="120" w:after="120"/>
              <w:rPr>
                <w:rFonts w:cs="Arial"/>
                <w:b w:val="0"/>
                <w:lang w:eastAsia="en-NZ"/>
              </w:rPr>
            </w:pPr>
            <w:r w:rsidRPr="00BE00C7">
              <w:rPr>
                <w:rFonts w:cs="Arial"/>
                <w:b w:val="0"/>
                <w:lang w:eastAsia="en-NZ"/>
              </w:rPr>
              <w:t>Three other files reviewed did not reflect the residents’ needs regarding management of a resident’s diabetes, congestive heart failure and an update regarding a central line.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Two GPs who attended residents at Granger House were interviewed, one face to face and one by phone. A high level of satisfaction with the care provided was expressed by one GP. The GP had been providing services to Granger House and overseeing the services provided by their locum doctors, for several years.  The other GP expressed concerns regarding the RNs not responding promptly to requests around residents’ care, when on site visiting clients. Two of these concerns were acknowledged by the CSM who was unaware of the third. The requests not being responded to, appear to be related to the limitations imposed by the availability of external service providers, in the region. A meeting has been organised between Granger House and the GP practice to seek a way to resolve the concerns.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Care plans do not consistently describe the required support to achieve the desired outcome identified in the assessment process. Communication with the GP does not always get passed on and care planning is not always updated as evidenced in documentation and interviews with staff.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that residents’ care plans describe the required support to meet the desired outcomes of the resident.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Heritage Lifecare Limited - Granger House Lifecare</w:t>
    </w:r>
    <w:bookmarkEnd w:id="58"/>
    <w:r>
      <w:rPr>
        <w:rFonts w:cs="Arial"/>
        <w:sz w:val="16"/>
        <w:szCs w:val="20"/>
      </w:rPr>
      <w:tab/>
      <w:t xml:space="preserve">Date of Audit: </w:t>
    </w:r>
    <w:bookmarkStart w:id="59" w:name="AuditStartDate1"/>
    <w:r>
      <w:rPr>
        <w:rFonts w:cs="Arial"/>
        <w:sz w:val="16"/>
        <w:szCs w:val="20"/>
      </w:rPr>
      <w:t>15 November 2018</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