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Age Care Central Limited - Maryann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Age Care Central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Maryann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November 2018</w:t>
      </w:r>
      <w:bookmarkEnd w:id="7"/>
      <w:r w:rsidRPr="009418D4">
        <w:rPr>
          <w:rFonts w:cs="Arial"/>
        </w:rPr>
        <w:tab/>
        <w:t xml:space="preserve">End date: </w:t>
      </w:r>
      <w:bookmarkStart w:id="8" w:name="AuditEndDate"/>
      <w:r w:rsidR="00A4268A">
        <w:rPr>
          <w:rFonts w:cs="Arial"/>
        </w:rPr>
        <w:t>2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Maryann Residential Home and Hospital provides dementia, rest home and hospital level care for up to 48 residents. The service is operated by Age Care Central Limited (ACL) and managed by a chief executive who is supported by a clinical manager and a nurse manager. Families and residents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This audit has resulted in no areas identified as requiring improvement.  Improvements have been made to advance directives, internal audit, corrective actions, dementia unit staff training, documentation within care plans in particular behaviour monitoring and wound care, restraint risk assessments and restraint evaluation, which address those areas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quality improvement and business goals plan 2016 - 2019 includes the mission statement, philosophy of care and goals of Age Care Central Limited (ACL).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by the CEO and designated senior staff.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Maryann Rest Home and Hospital have their needs assessed by the multidisciplinary team on admission within the required timeframes. Verbal handovers and electronic handover reports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Acute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an activities coordinator and an activities assistant with oversight from a diversional therapist.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has been recently upgraded,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uses at the time of audit. Two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6"/>
        <w:gridCol w:w="1280"/>
        <w:gridCol w:w="101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was defined and documented, as relevant, in the residents’ records. Residents in the dementia unit had documented EPOAs on file. Advance directives were seen to be current and the need for this was understood by staff interviewed. The previous corrective action request (CAR)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ACL complaints and concerns policy, flowchart and associated forms meet the requirements of Right 10 of the Code.  Information on the complaint process is readily available throughout the facility and is provided to residents and families on admission.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this year and that actions taken, through to an agreed resolution, are documented and completed within the timeframes.  Action plans showed any required follow up and improvements have been made where possible.  The chief executive officer confirmed he is ultimately responsible for complaints management and follow up and that this is done in conjunction with the relevant clinical or non-clinical manager.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reported that they inform family members of any changes following medical review and should an incident occur.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through the local DHB, or family members although reported this was rarely required due to residents being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and business goals plan 2016 - 2019, outlines the mission, philosophy and goals of the entire organisation. The document describes annual and longer-term objectives and includes associated operational plans. Annual progress against the objectives was most recently reviewed in December 2017. A sample of management meeting minutes showed adequate information to monitor performance is reported including but not limited to; bed occupancy, financial performance, staffing, training, emerging risks and issues. Managers’ quarterly reports to the CEO are provided to the board of trustees as part of the board meetings as indicated in the board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along with Marire Rest Home by a CEO, a nurse manager and a clinical manager who hold relevant qualifications. The nurse manager and the clinical manager have been in their roles for two and a half years. These registered nurses share clinical management responsibilities, are based at this facility and work a total of 60 hours per week between them, across both sites. The facilities are situated only two kilometres away from each other.  Responsibilities and accountabilities are defined in their job descriptions and individual employment agreements.  The CEO, nurse manager, clinical manager and clinical coordinator confirmed knowledge of the sector, regulatory and reporting requirements. The CEO maintains currency in his role as deputy chair of Taranaki District Hospital Board, and through membership of the Aged Care Association. The nurse managers maintain professional knowledge through ongoing education including the Ko Awatea online learning, Taranaki DHB Leadership in Aged Care forum attendance and hospice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Ministry of Health (MOH) for Young Persons with Physical Disabilities (YPD) and the Taranaki DHB for dementia services and chronic long-term conditions, including for respite and age related residential care (ARRC).  Two people were receiving services under the MOH YPD contract; one person was in the rest home and the other in the hospital. 15 people residing in the dementia unit were receiving dementia services under the DHB ARRC contract, 19 people were receiving services in the hospital and eight residents were receiving services in the rest home under the DHB ARRC contract.   No one was accessing residential respite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ACL has a planned quality and risk system, used at Maryann Residential Care Home and Hospital, that reflects the principles of continuous quality improvement. This includes management of incidents, concerns and complaints, audit activities, a regular resident and family satisfaction survey, monitoring of outcomes, including restraint use, clinical incidents including infections, skin tears, falls, medication errors and any other resident or staff related adverse events.</w:t>
            </w:r>
          </w:p>
          <w:p w:rsidR="00EB7645" w:rsidRPr="00BE00C7" w:rsidP="00BE00C7">
            <w:pPr>
              <w:pStyle w:val="OutcomeDescription"/>
              <w:spacing w:before="120" w:after="120"/>
              <w:rPr>
                <w:rFonts w:cs="Arial"/>
                <w:b w:val="0"/>
                <w:lang w:eastAsia="en-NZ"/>
              </w:rPr>
            </w:pPr>
            <w:r w:rsidRPr="00BE00C7">
              <w:rPr>
                <w:rFonts w:cs="Arial"/>
                <w:b w:val="0"/>
                <w:lang w:eastAsia="en-NZ"/>
              </w:rPr>
              <w:t>Analysis monitoring, trending and reporting of clinical indicators is completed by the clinical coordinator and provided to staff within the electronic system. Meeting minutes reviewed confirmed regular review and analysis of quality indicators and that related information is reported and discussed at the management team meeting, health and safety and risk team meetings, RN and restraint group meetings, health care assistant (HCA) meetings, team meetings and residents’ meetings. Staff reported their involvement in and awareness of quality and risk management activities through meeting attendance and audit activity. Internal audits have been completed as required by the internal audit programme. The corrective action from the previous audit relating to the internal audit schedule the analysis of data and the communication of results to staff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identified shortfalls result in relevant corrective actions being developed and implemented to address the issue. The up to date corrective action register indicated a timely resolution and sign off process has been imbedded. The corrective action from the previous audit relating to clinical corrective actions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and the results are shared with staff and residents. The most recent families survey in April this year showed overall satisfaction by ten of eleven respondents. Verbatim comments included ‘I really appreciate the way staff take a personal interest in my relative’, and ‘I find the staff very pleasant and able’. Areas for improvement were identified by four respondents, regarding the range of activities offered, which has been addressed by the activities staff.</w:t>
            </w:r>
          </w:p>
          <w:p w:rsidR="00EB7645" w:rsidRPr="00BE00C7" w:rsidP="00BE00C7">
            <w:pPr>
              <w:pStyle w:val="OutcomeDescription"/>
              <w:spacing w:before="120" w:after="120"/>
              <w:rPr>
                <w:rFonts w:cs="Arial"/>
                <w:b w:val="0"/>
                <w:lang w:eastAsia="en-NZ"/>
              </w:rPr>
            </w:pPr>
            <w:r w:rsidRPr="00BE00C7">
              <w:rPr>
                <w:rFonts w:cs="Arial"/>
                <w:b w:val="0"/>
                <w:lang w:eastAsia="en-NZ"/>
              </w:rPr>
              <w:t>Policies are based on best practice and were current. The electronic document control system ensures a systematic and regular review process, referencing of relevant sources, approval, distribution and removal of obsolete documents. The CEO, clinical manager, nurse manager and senior staff are each delegated responsibility for specific organisation wide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CEO described the processes for the identification, monitoring, review and reporting of risks and development of mitigation strategies. The CEO reported he is familiar with the Health and Safety at Work Act (2015) and has implemented requirements in conjunction with the domestic services supervisor.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each of the regular staff meetings, the management meetings, and the board and directly to all staff through the electronic notification system.</w:t>
            </w:r>
          </w:p>
          <w:p w:rsidR="00EB7645" w:rsidRPr="00BE00C7" w:rsidP="00BE00C7">
            <w:pPr>
              <w:pStyle w:val="OutcomeDescription"/>
              <w:spacing w:before="120" w:after="120"/>
              <w:rPr>
                <w:rFonts w:cs="Arial"/>
                <w:b w:val="0"/>
                <w:lang w:eastAsia="en-NZ"/>
              </w:rPr>
            </w:pPr>
            <w:r w:rsidRPr="00BE00C7">
              <w:rPr>
                <w:rFonts w:cs="Arial"/>
                <w:b w:val="0"/>
                <w:lang w:eastAsia="en-NZ"/>
              </w:rPr>
              <w:t>The CEO and clinical managers described essential notification reporting requirements (Section 31 notifications),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ACL 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RNs reported they had a preceptor, and care staff reported that they had a ‘buddy’ to assist them. Staff reported that the orientation process prepared them well for their role.  Staff records reviewed showed documentation of completed orientation and regular performance reviews.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An external person is the assessor for the programme.  Staff working in the dementia care area have either completed or are enrolled in the required education and the corrective action from the previous audit regarding this has been addressed. There are sufficient trained and competent registered nurses who are maintaining their annual competency requirements to undertake interRAI assessments. Records reviewed demonstrated completion of the required training and completion of annual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senior staff and managers adjust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clinical co-ordinator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Maryann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reviewed by a qualified dietitian in July 2018. Recommendations made at that time have been implemented and verified by the dietician.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registered with the Stratford District Council on 14 June 2018. A verification audit was undertaken on 17 August 2018. Recommendations made at the audit have been verified as being addressed. </w:t>
            </w:r>
          </w:p>
          <w:p w:rsidR="00EB7645" w:rsidRPr="00BE00C7" w:rsidP="00BE00C7">
            <w:pPr>
              <w:pStyle w:val="OutcomeDescription"/>
              <w:spacing w:before="120" w:after="120"/>
              <w:rPr>
                <w:rFonts w:cs="Arial"/>
                <w:b w:val="0"/>
                <w:lang w:eastAsia="en-NZ"/>
              </w:rPr>
            </w:pPr>
            <w:r w:rsidRPr="00BE00C7">
              <w:rPr>
                <w:rFonts w:cs="Arial"/>
                <w:b w:val="0"/>
                <w:lang w:eastAsia="en-NZ"/>
              </w:rPr>
              <w:t>The kitchen has recently been upgraded with new chillers and appliances now operating. The kitchen was spacious, and well equipped to respond to increasing demands. 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of the rest home have a choice of dining rooms to eat their meal. All generally choose to eat their meal in the hospital dining room. Residents were seen to be given time to eat their meal in an unhurried fashion and those requiring assistance had this provided. Gentle pleasant music reflective of residents’ likes, was playing in the background, enhancing a relaxed atmosphere for residents to eat their meal.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all times of the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Photographs evidenced improvements in wounds, no evidence of weight loss in the files reviewed was noted, and behaviour monitoring charts evidenced effectiveness with management strategies. The findings verified a previous corrective action request around interventions to manage behaviours and wounds, and timely review of wound monitoring, has been addressed. The facility was observed to be calm. Staff were observed to be responsive, happy and respectful. The GP interviewed, verified that medical input is sought in a timely manner, that medical orders are followed, and care is of a high standard. Care staff confirmed that care was provided as outlined in the documentation. Specialist services voiced a high regard for the services provided.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recreation co-ordinator who has nearly finished the diversional therapy training, and a recreation assistant. The programme is overseen by a trained diversional therapist and operates every day of the week. The recreation co-ordinator, who manages the programme was unavailable on the day of audit. Interview regarding activities was with the recreation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Notations in the resident’s activity plan are made twice a day and enable ongoing assessment regarding the resident’s participation.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A range of community groups congregate at Maryann Rest Home and Hospital enabling residents to continue participating in these community groups and mixing with friends. Several residents walk into town, bike around town or use mobility scooters to get out and about. A facility van is available for outings.</w:t>
            </w:r>
          </w:p>
          <w:p w:rsidR="00EB7645" w:rsidRPr="00BE00C7" w:rsidP="00BE00C7">
            <w:pPr>
              <w:pStyle w:val="OutcomeDescription"/>
              <w:spacing w:before="120" w:after="120"/>
              <w:rPr>
                <w:rFonts w:cs="Arial"/>
                <w:b w:val="0"/>
                <w:lang w:eastAsia="en-NZ"/>
              </w:rPr>
            </w:pPr>
            <w:r w:rsidRPr="00BE00C7">
              <w:rPr>
                <w:rFonts w:cs="Arial"/>
                <w:b w:val="0"/>
                <w:lang w:eastAsia="en-NZ"/>
              </w:rPr>
              <w:t>There are activities provided for residents of the secure unit, seven days a week. While a programme is planned, it is flexible and adaptable to the daily needs of the residents. On some days the residents from the unit join the activity sessions in the hospital/rest home. This is particularly occurring during the monthly themed events and days when visiting groups are at the facility. Residents in the secure unit and other residents with dementia, have a twenty-four-hour activity plan in their care plan that identifies the activities that suit the resident at certain times of the day.</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acute care plans being consistently reviewed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May 2019, is publicly displayed in the main reception.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is appropriate to that recommended for long term care facilities, with infection definitions reflecting a focus on symptoms rather than laboratory results. These include urinary tract, soft tissue, fungal, eye, gastro-intestinal, the upper and lower respiratory tract and scabies. Infections are diagnosed by the GP. When an infection is identified, an infection form is filled out in the resident’s electronic care plan. Interventions are put in place, and an infection alert highlights the infection, until it is recorded as resolved.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reviews all reported infections. Monthly surveillance data is collated and analysed to identify any trends, possible causative factors and required actions. Results of the surveillance programme are shared with staff via the electronic care management system, staff meetings and at staff handovers. Surveillance data is carried over into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provide guidance on the safe use of both restraints and enablers.  The clinical coordinator who performs the role of restraint coordinator provides support and oversight for enabler and restraint management in this facility. She demonstrated a sound understanding of ACL’s policies, procedures and practices The restraint coordinator was also aware of  and her role and responsibilities regarding restraint practices and expressed a strong desire to have a restraint free facility, giving examples of trials to remove the current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a restraint in the form of padded bedrails. No residents were using enablers. Staff described enablers as being the least restrictive and used voluntarily at a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within the electronic residents’ files and included all requirements of the Standard. An RN undertakes the initial assessment with the restraint coordinator’s involvement, and input from the resident’s family/whānau/EPOA as relevant. The restraint coordinator and staff described the documented process.  Families’ involvement was confirmed in the residents’ files. The general practitioner is involved in the final decision on the safety of the use of the restraint. The assessment process identified the underlying cause, history of restraint use, cultural considerations, alternatives and associated risks. This documentation of risk within the care plan addressed the corrective action from the previous audit. The desired outcome was to ensure the resident’s safety and security. Completed assessments were sighted in the records of the two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electronic files and restraint meeting minutes showed that the individual use of restraints is reviewed and evaluated during care plan and interRAI reviews, six monthly restraint evaluations and at the restraint approval group meetings.  Staff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and past attempts to eliminate use, the impact and outcomes achieved, if the policy and procedure was followed and documentation completed as required. Improvements have been made following the previous audit to ensure evaluation of restraints used addresses all aspect of the criterion.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Age Care Central Limited - Maryann Rest Home and Hospital</w:t>
    </w:r>
    <w:bookmarkEnd w:id="58"/>
    <w:r>
      <w:rPr>
        <w:rFonts w:cs="Arial"/>
        <w:sz w:val="16"/>
        <w:szCs w:val="20"/>
      </w:rPr>
      <w:tab/>
      <w:t xml:space="preserve">Date of Audit: </w:t>
    </w:r>
    <w:bookmarkStart w:id="59" w:name="AuditStartDate1"/>
    <w:r>
      <w:rPr>
        <w:rFonts w:cs="Arial"/>
        <w:sz w:val="16"/>
        <w:szCs w:val="20"/>
      </w:rPr>
      <w:t>1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