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Edith Cavell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Edith Cavell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21 August 2018</w:t>
      </w:r>
      <w:bookmarkEnd w:id="7"/>
      <w:r w:rsidRPr="009418D4">
        <w:rPr>
          <w:rFonts w:cs="Arial"/>
        </w:rPr>
        <w:tab/>
        <w:t xml:space="preserve">End date: </w:t>
      </w:r>
      <w:bookmarkStart w:id="8" w:name="AuditEndDate"/>
      <w:r w:rsidR="00A4268A">
        <w:rPr>
          <w:rFonts w:cs="Arial"/>
        </w:rPr>
        <w:t>21 August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Edith Cavell Lifecare provides rest home and hospital level care for up to sixty-three residents. The service is operated by Heritage Lifecare Limited and managed by a facility manager and a clinical services manager. Residents and families spoke positively about the care provided.</w:t>
      </w:r>
    </w:p>
    <w:p w:rsidRPr="00A4268A">
      <w:pPr>
        <w:spacing w:before="240" w:line="276" w:lineRule="auto"/>
        <w:rPr>
          <w:rFonts w:eastAsia="Calibri"/>
        </w:rPr>
      </w:pPr>
      <w:r w:rsidRPr="00A4268A">
        <w:rPr>
          <w:rFonts w:eastAsia="Calibri"/>
        </w:rPr>
        <w:t>This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and a general practitioner.</w:t>
      </w:r>
    </w:p>
    <w:p w:rsidRPr="00A4268A">
      <w:pPr>
        <w:spacing w:before="240" w:line="276" w:lineRule="auto"/>
        <w:rPr>
          <w:rFonts w:eastAsia="Calibri"/>
        </w:rPr>
      </w:pPr>
      <w:r w:rsidRPr="00A4268A">
        <w:rPr>
          <w:rFonts w:eastAsia="Calibri"/>
        </w:rPr>
        <w:t xml:space="preserve">Improvements have been made to care planning, addressing the area requiring improvement at the previous audit. There were no areas requiring improvement from this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facility and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p>
    <w:p w:rsidRPr="00A4268A"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Registered nurses are on duty 24 hours each day in the facility and are supported by care and allied health staff and designated general practitioners. Shift handovers, communication sheets and an electronic resident documentation system guide continuity of care. </w:t>
      </w:r>
    </w:p>
    <w:p w:rsidRPr="00A4268A" w:rsidP="00621629">
      <w:pPr>
        <w:spacing w:before="240" w:line="276" w:lineRule="auto"/>
        <w:rPr>
          <w:rFonts w:eastAsia="Calibri"/>
        </w:rPr>
      </w:pPr>
      <w:r w:rsidRPr="00A4268A">
        <w:rPr>
          <w:rFonts w:eastAsia="Calibri"/>
        </w:rPr>
        <w:t xml:space="preserve">Care plans are individualised, based on a comprehensive and integrated range of clinical information. Short term care plans are developed to manage any new problems that might arise. All residents’ files reviewed demonstrated that needs, goals and outcomes are identified and reviewed on a regular basis. Residents and families/whanau interviewed reported being well informed and involved in care planning and evaluation, and that the care provided is of a high standard.  </w:t>
      </w:r>
    </w:p>
    <w:p w:rsidRPr="00A4268A" w:rsidP="00621629">
      <w:pPr>
        <w:spacing w:before="240" w:line="276" w:lineRule="auto"/>
        <w:rPr>
          <w:rFonts w:eastAsia="Calibri"/>
        </w:rPr>
      </w:pPr>
      <w:r w:rsidRPr="00A4268A">
        <w:rPr>
          <w:rFonts w:eastAsia="Calibri"/>
        </w:rPr>
        <w:t xml:space="preserve">The planned activity programme, overseen by an activities coordinator, provides residents with a variety of individual and group activities and maintains their links with the local community. A facility van with wheel chair access is available for outings. </w:t>
      </w:r>
    </w:p>
    <w:p w:rsidRPr="00A4268A" w:rsidP="00621629">
      <w:pPr>
        <w:spacing w:before="240" w:line="276" w:lineRule="auto"/>
        <w:rPr>
          <w:rFonts w:eastAsia="Calibri"/>
        </w:rPr>
      </w:pPr>
      <w:r w:rsidRPr="00A4268A">
        <w:rPr>
          <w:rFonts w:eastAsia="Calibri"/>
        </w:rPr>
        <w:t xml:space="preserve">Medicines are managed according to policies and procedures based on current good practice and policies are consistently implemented using an electronic system.  Medications are administered by registered nurses with care staff as ‘second checkers’, all of whom have been assessed as competent to do so. </w:t>
      </w:r>
    </w:p>
    <w:p w:rsidRPr="00A4268A" w:rsidP="00621629">
      <w:pPr>
        <w:spacing w:before="240" w:line="276" w:lineRule="auto"/>
        <w:rPr>
          <w:rFonts w:eastAsia="Calibri"/>
        </w:rPr>
      </w:pPr>
      <w:r w:rsidRPr="00A4268A">
        <w:rPr>
          <w:rFonts w:eastAsia="Calibri"/>
        </w:rPr>
        <w:t xml:space="preserve">Food service delivery is supported by staff with food safety qualifications. The kitchen was clean, well-organised and meets food safety standards. Residents verified satisfaction with the meals provided. The food service meets the nutritional needs of the residents with special needs catered for.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is a current building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the minimisation of restraint. No enablers and no restraints were in use at the time of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 Aged care infection surveillance is undertaken with data analysed, trended and results reported through all levels of the organisation. Follow 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33"/>
        <w:gridCol w:w="1280"/>
        <w:gridCol w:w="100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that eight complaints have been received over the past year and that actions taken, through to an agreed resolution, are documented and completed within the timeframes. Action plans showed any required follow up and improvements have been made where possible. The facility manager (FM) is responsible for complaints management and follow up. All staff interviewed confirmed a sound understanding of the complaint process and what actions are required. There has been one complaint received from an external source (the Health and Disability Commissioner’s office) and closed by the Commissioner’s office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demonstrated in residents’ records and incident forms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know how to access interpreter services, although reported this was rarely required due to all residents able to speak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Heritage Lifecare Limited (HLL) - Edith Cavell Home and Hospital’s strategic and business plans, which are reviewed annually, outline the purpose, values, scope, direction and goals of the facility and the organisation. The documents described annual and longer-term objectives and the associated operational plans. A sample of monthly reports to the board of directors and support office showed adequate information to monitor performance is reported including occupancy, staffing, financial performance, issues, complaints, incidents and all adverse events.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facility manager (FM) who holds relevant qualifications and has been in the role for two years. Responsibilities and accountabilities are defined in a job description and individual employment agreement. The FM confirmed knowledge of the sector, regulatory and reporting requirements and maintains currency through the organisation’s managers’ forum meetings, sector seminars, conferences and professional development.</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district health board (DHB) for respite, rest home and hospital, and the Ministry of Health (MoH) for younger persons with a disability (YPD).  Nineteen residents were receiving services under the rest home contract, thirty-six under hospital care, including one YPD at the time of audit. Three residents were in Occupational Rights Agreement apartments. Apartments are within the facility’s hospital environment and included in hospital staffing numbers.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HLL- Edith Cavell Home and Hospital has a planned quality and risk system that reflects the principles of continuous quality improvement. This includes management of incidents and complaints, audit activities, a regular patient satisfaction survey, monitoring of outcomes, clinical incidents including infections and adverse events. </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the management, staff and quality team meetings. Staff reported their involvement in quality and risk management activities through audit activities and attendance at meetings. Relevant corrective actions are developed and implemented to address any shortfalls. Resident and family satisfaction surveys are completed annually. The most recent survey showed themes related to call bell answer times and puree food temperatures. The service could demonstrate actions taken to show improvement in both areas.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described the processes for the identification, monitoring, review and reporting of risks and development of mitigation strategies. The manager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incident form. A sample of incidents forms reviewed showed these were fully completed, incidents were investigated, action plans developed and actions followed-up in a timely manner.  Adverse event data is collated, analysed and reported to the HHL support office via an electronic reporting system.</w:t>
            </w:r>
          </w:p>
          <w:p w:rsidR="00EB7645" w:rsidRPr="00BE00C7" w:rsidP="00BE00C7">
            <w:pPr>
              <w:pStyle w:val="OutcomeDescription"/>
              <w:spacing w:before="120" w:after="120"/>
              <w:rPr>
                <w:rFonts w:cs="Arial"/>
                <w:b w:val="0"/>
                <w:lang w:eastAsia="en-NZ"/>
              </w:rPr>
            </w:pPr>
            <w:r w:rsidRPr="00BE00C7">
              <w:rPr>
                <w:rFonts w:cs="Arial"/>
                <w:b w:val="0"/>
                <w:lang w:eastAsia="en-NZ"/>
              </w:rPr>
              <w:t>The FM described essential notification reporting requirements, including for pressure injuries.  They advised there have been two notifications of significant events made to the Ministry of Health since the previous audit.  One relating to a resident who left the premises at night and another resident who was away with a concern for the resident’s safety. Both were managed in a timely manner and resolved safely for the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 documentation of completed orientation and a performance review after a three-month period and annually thereafter.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A staff member is the internal assessor for the programme. There are sufficient trained and competent registered nurses who are maintaining their annual competency requirements to undertake interRAI assessments. Records reviewed demonstrated completion of the required training. The service manages those residents under an ORA and residential care agreement within appropriately trained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This includes residential care residents under an ORA contract.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interviewed supported this. Observations and review of four weeks of rosters confirmed adequate staff cover has been provided, with staff replaced in any unplanned absence.  At least one staff member on duty has a current first aid certificate and there is 24/7 RN coverage in the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is in place for medicine management using the ‘Medimap’ electronic system and a blister pack system, as observed on the day of audit. The staff observed were wearing coloured upper body aprons that identified they were giving out medication and not to be disturbed. Staff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every four weeks. These medications are checked by a registered nurse against the prescription. All medications sighted were within current use by dates. Clinical pharmacist input is provided weekly and on request. Medicine reconciliation is occurring, and the designated pharmacy accesses the Medimap system. The pharmacy reviews medications no longer in use weekly and removes them from the facility.</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 monthly stock checks and accurate entries. Standing orders are no longer required with the current Medimap system, the general practitioner can access the system from the surgery and prescribe immediately the required medication. There was no one self-administering medications on the audit day, however processes and documentation are in place to enable safe administration if this was to occur.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general practitioner review was consistently recorded on the medicine chart. The general practitioner interviewed confirmed that staff respond promptly to changes in medication and communicate promptly any concerns through the system the general practitioner practice has set up whereby texts and phone calls are responded to promptly. </w:t>
            </w:r>
          </w:p>
          <w:p w:rsidR="00EB7645" w:rsidRPr="00BE00C7" w:rsidP="00BE00C7">
            <w:pPr>
              <w:pStyle w:val="OutcomeDescription"/>
              <w:spacing w:before="120" w:after="120"/>
              <w:rPr>
                <w:rFonts w:cs="Arial"/>
                <w:b w:val="0"/>
                <w:lang w:eastAsia="en-NZ"/>
              </w:rPr>
            </w:pPr>
            <w:r w:rsidRPr="00BE00C7">
              <w:rPr>
                <w:rFonts w:cs="Arial"/>
                <w:b w:val="0"/>
                <w:lang w:eastAsia="en-NZ"/>
              </w:rPr>
              <w:t>Medication errors are reported to the clinical service manager who is a registered nurse and recorded on an incident form. The resident and/or the designated representative are advised. There is a process for comprehensive analysis of any medication errors, reporting to a higher level in the organisation and reporting back to staff. Compliance with this process was verified.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an experienced kitchen manager who has worked for the facility for many years and the kitchen team and is in line with recognised nutritional guidelines for older people.  The menu follows summer and winter patterns and has been reviewed by a qualified dietitian (June 2018).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food services manager has undertaken a safe food handling qualification, with kitchen assistants completing relevant food handling training. The facility food control plan was recently audited by the Christchurch City Council. The corrective action was completed and signed off and Edith Cavell Home and Hospital food control plan verified as being successfully implemented and continuing to produce safe and suitable food.</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 white board in the kitchen has individual requirements for residents highlighted to ensure their specific requirements are accommodated in every meal plan.  Residents have access to food and fluids to meet their nutritional needs at all times and staff were observed to be regularly offering food and fluids. Special equipment, to meet resident’s nutritional needs, is available and observed in use with staff assisting those residents that required help and residents were given sufficient time to eat their meal.</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family/whanau interviews, satisfaction surveys, residents’ bimonthly meeting minutes and the recently introduced monthly family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is coordinated in a manner that promotes continuity in service delivery promoting a comprehensive assessment from a multidisciplinary team perspective with involvement of the resident and their family/whanau. The general practitioner, clinical service manager, registered nurses, care staff, activities coordinator and residents, family/whanau interviewed confirmed this was occurring.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is documented using validated comprehensive multidisciplinary assessment tools, such as advance care directives, mini nutritional assessment, swallowing difficulties assessment, dietary, mobility and transfers, personal hygiene, toileting, oral care, skin integrity, pressure injury risk, falls risk, continence assessment, activity assessment, Cornell depression scale, as a means to identify any deficits and to inform care planning. </w:t>
            </w:r>
          </w:p>
          <w:p w:rsidR="00EB7645" w:rsidRPr="00BE00C7" w:rsidP="00BE00C7">
            <w:pPr>
              <w:pStyle w:val="OutcomeDescription"/>
              <w:spacing w:before="120" w:after="120"/>
              <w:rPr>
                <w:rFonts w:cs="Arial"/>
                <w:b w:val="0"/>
                <w:lang w:eastAsia="en-NZ"/>
              </w:rPr>
            </w:pPr>
            <w:r w:rsidRPr="00BE00C7">
              <w:rPr>
                <w:rFonts w:cs="Arial"/>
                <w:b w:val="0"/>
                <w:lang w:eastAsia="en-NZ"/>
              </w:rPr>
              <w:t>The sample of care plans reviewed had an integrated range of resident related information. All residents’ files reviewed during the audit had a current interRAI assessment completed by six trained assessors on site. The clinical services manager provides input and oversight for interRAI assessments and lifestyle care plans and reviews are planned six monthly or more frequently as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six monthly interRAI assessments were completed in all files reviewed which then informed the care plan review and the interventions triggered in the interRAI assessment were included in all the care plans reviewed addressing the previous shortfall.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observations and interviews verified the provision of care provided to residents was consistent with their needs, goals and the plan of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attention to meeting a diverse range of resident’s individualised needs was evident in all areas of service provision.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practitioner verified that medical input is sought in a timely manner from the clinical service manager and registered nurses, that medical orders are promptly implemented, and that staff ensure that the general practitioner, family/whanau are consulted when a resident’s condition changes. The general practitioner reported that care was of a high standard at both rest home and hospital levels of care. Family/whanau interviewed confirmed that they are informed, and their input is included. </w:t>
            </w:r>
          </w:p>
          <w:p w:rsidR="00EB7645" w:rsidRPr="00BE00C7" w:rsidP="00BE00C7">
            <w:pPr>
              <w:pStyle w:val="OutcomeDescription"/>
              <w:spacing w:before="120" w:after="120"/>
              <w:rPr>
                <w:rFonts w:cs="Arial"/>
                <w:b w:val="0"/>
                <w:lang w:eastAsia="en-NZ"/>
              </w:rPr>
            </w:pPr>
            <w:r w:rsidRPr="00BE00C7">
              <w:rPr>
                <w:rFonts w:cs="Arial"/>
                <w:b w:val="0"/>
                <w:lang w:eastAsia="en-NZ"/>
              </w:rPr>
              <w:t>The clinical service manager, registered nurses and care staff confirmed that care was provided as outlined in the documentation. A range of equipment and resources was available, suited to the levels of care provided and in accordance with the residents’ assessed needs. Observed in use were walking frames, pressure injury prevention mattresses, ‘roho’ cushions, sensor mats, non-slip mats, hoists, shower chairs and raised toilet seats.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 full time activities coordinator currently completing the diversional therapy training through Careerforce. The activities coordinator has previously completed postgraduate study in arts therapy which has influenced the activity programme in a positive way providing a diverse itinerary to meet the individual needs of residents. The programme fits with the philosophy of the home and hospital whereby residents have the right to flourish and have optimum quality of life incorporating gender, ethnic, cultural, physical, emotional and spiritual needs. This is reflected on the activities schedule which was observed on the wall in residents’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individual needs, personal strategies, choices, interests’ abilities and social requirements. Family members/whanau are encouraged to participate in the assessment process as confirmed by residents and family/whanau interviewed.  The resident’s activity needs are revaluated as their needs change, monthly, and as part of the formal six monthly care plan review as evidenced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matches the skills, likes, dislikes, interests, personal strategies and preferences for outings as identified in assessment data.  Activities reflected residents’ goals, ordinary patterns of life and include normal community activities, individual, group activities with regular events offered. There is a facility van which also accommodates wheelchairs which takes residents out on the planned group visits and one on one outings.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Along with the bi monthly residents meeting the facility has implemented a six monthly family meeting where all aspects of care can be discussed including activities. Resident and family satisfaction surveys demonstrated satisfaction with the programme. Residents, family /whanau interviewed confirmed they find the programme is designed to meet their individual needs. Family /whanau are also invited to attend.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progress notes.  If any change is noted, it is reported to the RN or CSM and an alert will also be placed on the message board Ecase system to highlight any changes and to ensure all staff are aware.</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or as residents’ needs change. Six-monthly interRAI reassessments are occurring, or more frequently as residents’ needs change which then informs changes to the residents’ requirements in the care plans.</w:t>
            </w:r>
          </w:p>
          <w:p w:rsidR="00EB7645" w:rsidRPr="00BE00C7" w:rsidP="00BE00C7">
            <w:pPr>
              <w:pStyle w:val="OutcomeDescription"/>
              <w:spacing w:before="120" w:after="120"/>
              <w:rPr>
                <w:rFonts w:cs="Arial"/>
                <w:b w:val="0"/>
                <w:lang w:eastAsia="en-NZ"/>
              </w:rPr>
            </w:pPr>
            <w:r w:rsidRPr="00BE00C7">
              <w:rPr>
                <w:rFonts w:cs="Arial"/>
                <w:b w:val="0"/>
                <w:lang w:eastAsia="en-NZ"/>
              </w:rPr>
              <w:t>Examples of short term care plans were consistently reviewed for skin tears, falls, infections, any changes in the resident’s normal status, and progress was evaluated as clinically indicated at least weekly and according to the degree of risk noted during the assessment process. If ongoing, the short term care plan was transferred into the long term care plan section. Other plans, such as wound management plans were evaluated each time the dressing was changed.</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families/whanau interviewed provided examples of involvement in evaluation of progress and any resulting changes were discussed with the resident and family/whanau members.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01 Dec 2018) is publicly displayed.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scabies. When an infection is identified, a record of this is documented in the infection reporting form, individual infection register, in the resident’s clinical record, and as an alert in the message board on the resident electronic management system. </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reviews all reported infections.  Monthly surveillance data is collated and analysed to identify any trends, possible causative factors and required actions. Graphs are produced that identify trends for the current year and comparisons against previous years, and this is reported to the clinical services manager, facility manager, quality team and Heritage Lifecare Ltd.</w:t>
            </w:r>
          </w:p>
          <w:p w:rsidR="00EB7645" w:rsidRPr="00BE00C7" w:rsidP="00BE00C7">
            <w:pPr>
              <w:pStyle w:val="OutcomeDescription"/>
              <w:spacing w:before="120" w:after="120"/>
              <w:rPr>
                <w:rFonts w:cs="Arial"/>
                <w:b w:val="0"/>
                <w:lang w:eastAsia="en-NZ"/>
              </w:rPr>
            </w:pPr>
            <w:r w:rsidRPr="00BE00C7">
              <w:rPr>
                <w:rFonts w:cs="Arial"/>
                <w:b w:val="0"/>
                <w:lang w:eastAsia="en-NZ"/>
              </w:rPr>
              <w:t>New infections and any required management plan are discussed at handover, to ensure early intervention occurs. Surveillance results are then shared with staff at the registered nurses and general staff meetings, as confirmed in meeting minutes sighted and interviews with staff. There have been no recent outbreaks reported.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her/his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no residents were using restraints and no residents were using enablers. There have been no restraints used in the facility for at least two years.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Edith Cavell Home and Hospital</w:t>
    </w:r>
    <w:bookmarkEnd w:id="58"/>
    <w:r>
      <w:rPr>
        <w:rFonts w:cs="Arial"/>
        <w:sz w:val="16"/>
        <w:szCs w:val="20"/>
      </w:rPr>
      <w:tab/>
      <w:t xml:space="preserve">Date of Audit: </w:t>
    </w:r>
    <w:bookmarkStart w:id="59" w:name="AuditStartDate1"/>
    <w:r>
      <w:rPr>
        <w:rFonts w:cs="Arial"/>
        <w:sz w:val="16"/>
        <w:szCs w:val="20"/>
      </w:rPr>
      <w:t>21 August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