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ABI Rehabilitation New Zealand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residential disability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ABI Rehabilitation New Zealand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Multiple premises</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August 2018</w:t>
      </w:r>
      <w:bookmarkEnd w:id="7"/>
      <w:r w:rsidRPr="009418D4">
        <w:rPr>
          <w:rFonts w:cs="Arial"/>
        </w:rPr>
        <w:tab/>
        <w:t xml:space="preserve">End date: </w:t>
      </w:r>
      <w:bookmarkStart w:id="8" w:name="AuditEndDate"/>
      <w:r w:rsidR="00A4268A">
        <w:rPr>
          <w:rFonts w:cs="Arial"/>
        </w:rPr>
        <w:t>17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ABI Rehabilitation New Zealand (Auckland) provides intensive rehabilitation hospital (medical) level care for up to 33 clients and residential disability services to people who have had a traumatic brain injury or stroke for up to 43 clients in six houses in the west of Auckland. The service is operated by ABI Rehabilitation New Zealand Ltd and managed by a managing director. Since the certification audit, one residential house has been closed. </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The audit process included review of policies and procedures, review of clients’ and staff files, observations and interviews with clients, family members, management and staff, including allied health providers and a doctor. </w:t>
      </w:r>
    </w:p>
    <w:p w:rsidRPr="00A4268A">
      <w:pPr>
        <w:spacing w:before="240" w:line="276" w:lineRule="auto"/>
        <w:rPr>
          <w:rFonts w:eastAsia="Calibri"/>
        </w:rPr>
      </w:pPr>
      <w:r w:rsidRPr="00A4268A">
        <w:rPr>
          <w:rFonts w:eastAsia="Calibri"/>
        </w:rPr>
        <w:t xml:space="preserve">This audit has identified areas for improvement relating to food and nutrition and adverse event records. Nine areas identified as requiring improvement at the previous audit have now been fully addressed. </w:t>
      </w:r>
    </w:p>
    <w:p w:rsidRPr="00A4268A">
      <w:pPr>
        <w:spacing w:before="240" w:line="276" w:lineRule="auto"/>
        <w:rPr>
          <w:rFonts w:eastAsia="Calibri"/>
        </w:rPr>
      </w:pPr>
      <w:r w:rsidRPr="00A4268A">
        <w:rPr>
          <w:rFonts w:eastAsia="Calibri"/>
        </w:rPr>
        <w:t>On the day of audit there were 65 beds occupied; 25 intensive rehabilitation clients were at the Metcalfe Road site and 40 clients in the community houses. One day rehabilitation client was also present at Metcalfe Road. A total of three houses in the community were visited during the audit as well as one house at the main Metcalfe Road site.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All requirements related to clients’ rights related to independence, personal privacy, dignity and respect are complied with. Clients and family members spoken with during the audit expressed satisfaction with the services being provided.</w:t>
      </w:r>
    </w:p>
    <w:p w:rsidRPr="00A4268A">
      <w:pPr>
        <w:spacing w:before="240" w:line="276" w:lineRule="auto"/>
        <w:rPr>
          <w:rFonts w:eastAsia="Calibri"/>
        </w:rPr>
      </w:pPr>
      <w:r w:rsidRPr="00A4268A">
        <w:rPr>
          <w:rFonts w:eastAsia="Calibri"/>
        </w:rPr>
        <w:t xml:space="preserve">Clients and their families are provided with the information that they need to make informed choices and were appreciative of this. Open communication between staff, clients, and families is promoted. There is access to interpreting services which are used when required.   </w:t>
      </w:r>
    </w:p>
    <w:p w:rsidRPr="00A4268A">
      <w:pPr>
        <w:spacing w:before="240" w:line="276" w:lineRule="auto"/>
        <w:rPr>
          <w:rFonts w:eastAsia="Calibri"/>
        </w:rPr>
      </w:pPr>
      <w:r w:rsidRPr="00A4268A">
        <w:rPr>
          <w:rFonts w:eastAsia="Calibri"/>
        </w:rPr>
        <w:t>A complaints register is maintained and demonstrated that complaints are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key objectives, values and mission statement of the organisation. Regular and effective monitoring of the services is provided by the executive management team to the Managing Director. </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clients and families. Actual and potential risks, including health and safety risks, are identified and mitigated. Policies and procedures, which are updated regularly, support service delivery.</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clients.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ABI (Acquired Brain Injury) Rehabilitation provides specialist residential and community-based rehabilitation. A multidisciplinary team that comprises medical officers, physiotherapist, occupational therapists, speech language therapist, registered nurses, a dietician, rehabilitation programme coordinators, provide rehabilitation planning, assessment, interventions and evaluation of care.</w:t>
      </w:r>
    </w:p>
    <w:p w:rsidRPr="00A4268A" w:rsidP="00621629">
      <w:pPr>
        <w:spacing w:before="240" w:line="276" w:lineRule="auto"/>
        <w:rPr>
          <w:rFonts w:eastAsia="Calibri"/>
        </w:rPr>
      </w:pPr>
      <w:r w:rsidRPr="00A4268A">
        <w:rPr>
          <w:rFonts w:eastAsia="Calibri"/>
        </w:rPr>
        <w:t>Activities are therapy based in the intensive service and the residential service provides activities that are appropriate to its client group.</w:t>
      </w:r>
    </w:p>
    <w:p w:rsidRPr="00A4268A" w:rsidP="00621629">
      <w:pPr>
        <w:spacing w:before="240" w:line="276" w:lineRule="auto"/>
        <w:rPr>
          <w:rFonts w:eastAsia="Calibri"/>
        </w:rPr>
      </w:pPr>
      <w:r w:rsidRPr="00A4268A">
        <w:rPr>
          <w:rFonts w:eastAsia="Calibri"/>
        </w:rPr>
        <w:t>Medication is managed via Medi-Map which is well embedded in the service and implemented in accordance with the organisation’s policies and procedures and requirements.  Staff involved in medication management are assessed as competent to do so.</w:t>
      </w:r>
    </w:p>
    <w:p w:rsidRPr="00A4268A" w:rsidP="00621629">
      <w:pPr>
        <w:spacing w:before="240" w:line="276" w:lineRule="auto"/>
        <w:rPr>
          <w:rFonts w:eastAsia="Calibri"/>
        </w:rPr>
      </w:pPr>
      <w:r w:rsidRPr="00A4268A">
        <w:rPr>
          <w:rFonts w:eastAsia="Calibri"/>
        </w:rPr>
        <w:t>The food service is based on the requirements of individuals and is monitored by a dietitian. A rotating four weekly menu provides the basis for meals with daily input from the multidisciplinary team.</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was displayed at relevant sites.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clients were using enablers and twenty three clients were using restraints at the time of audit. A comprehensive assessment, approval and monitoring process with regular fortnightly or monthly reviews is occurring.  Use of enablers is voluntary for the safety of clients in response to individual requests. Staff have regular training in challenging behaviours and restraint minimisation techniques.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suitable for the size and type of the service.  Surveillance is undertaken appropriately and reported via the clinical governance group.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61"/>
        <w:gridCol w:w="1280"/>
        <w:gridCol w:w="101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process is in place that ensures the informed consent process is explained to clients and their families on admission to the service. Signed forms were sighted on the twenty-six files sighted across both the intensive and residential services. This addresses the previous corrective action. The consent forms cover all aspects of the service that the client might be involved in, including the taking of photographs and the discussion with clients and families around ‘not for resuscitation’, which involves a discussion with the medical director. Informed consent was sighted on appropriate forms where restraint and/or enablers are used.  Informed consent forms are re-signed if the client is still in the service in three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compliments/complaints policy and associated forms meet the requirements of Right 10 of the Code of Health and Disability Services Consumers’ Rights (the Code).  Information on the complaint process is provided to residents and families on admission and is placed around the facilities. Those interviewed knew how to make a complaint or give compliments.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29 complaints have been received over the past year and that actions taken, through to an agreed resolution, are documented and processes completed within the timeframes. Four complaints were referred to the Health and Disability Commissioner (HDC). Three were resolved and are now closed and one is currently being working on with other agency involvement with all required documentation having been forwarded to the HDC. Action plans showed any required follow up and improvements have been made where possible. The quality, risk and compliance manager is responsible for complaints management and follow up. 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clients and families interviewed reported staff are always respectful and considerate about their right to privacy. Staff interviewed were aware of the policy and able to discuss the process to report abuse and neglect if they were to suspect it.</w:t>
            </w:r>
          </w:p>
          <w:p w:rsidR="00EB7645" w:rsidRPr="00BE00C7" w:rsidP="00BE00C7">
            <w:pPr>
              <w:pStyle w:val="OutcomeDescription"/>
              <w:spacing w:before="120" w:after="120"/>
              <w:rPr>
                <w:rFonts w:cs="Arial"/>
                <w:b w:val="0"/>
                <w:lang w:eastAsia="en-NZ"/>
              </w:rPr>
            </w:pPr>
            <w:r w:rsidRPr="00BE00C7">
              <w:rPr>
                <w:rFonts w:cs="Arial"/>
                <w:b w:val="0"/>
                <w:lang w:eastAsia="en-NZ"/>
              </w:rPr>
              <w:t>All clients have their own bedrooms and care is taken to ensure privacy when using shared bathrooms. Client’s preferred names are used by staff and this is documented, as was evident with one of the clients reviewed in detail using tracer methodology. An organisation wide privacy audit is conducted three monthly and results are reported to the clinical governance group. The laundry staff no longer receive information about clients’ infections, this is addressed with colour coded linen bags and this addresses the previous area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needs, values, and beliefs are assessed at first entry to the service and this information is documented on the initial assessment form.  </w:t>
            </w:r>
          </w:p>
          <w:p w:rsidR="00EB7645" w:rsidRPr="00BE00C7" w:rsidP="00BE00C7">
            <w:pPr>
              <w:pStyle w:val="OutcomeDescription"/>
              <w:spacing w:before="120" w:after="120"/>
              <w:rPr>
                <w:rFonts w:cs="Arial"/>
                <w:b w:val="0"/>
                <w:lang w:eastAsia="en-NZ"/>
              </w:rPr>
            </w:pPr>
            <w:r w:rsidRPr="00BE00C7">
              <w:rPr>
                <w:rFonts w:cs="Arial"/>
                <w:b w:val="0"/>
                <w:lang w:eastAsia="en-NZ"/>
              </w:rPr>
              <w:t>The clients and family members interviewed confirmed that their wishes are respected and had high praise for the quality of care provided and the marked improvement in the clients’ progress and wellbeing since being in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Clients and family members interviewed felt well informed about their care, and confirmed they are involved in helping to work towards their/their relative’s goals. They reported that staff take the time to listen and seek their opinions and work in partnership with them. One family had been given exercises and games they could play with the client to promote their rehabilitation programme and understood the value of this.  </w:t>
            </w:r>
          </w:p>
          <w:p w:rsidR="00EB7645" w:rsidRPr="00BE00C7" w:rsidP="00BE00C7">
            <w:pPr>
              <w:pStyle w:val="OutcomeDescription"/>
              <w:spacing w:before="120" w:after="120"/>
              <w:rPr>
                <w:rFonts w:cs="Arial"/>
                <w:b w:val="0"/>
                <w:lang w:eastAsia="en-NZ"/>
              </w:rPr>
            </w:pPr>
            <w:r w:rsidRPr="00BE00C7">
              <w:rPr>
                <w:rFonts w:cs="Arial"/>
                <w:b w:val="0"/>
                <w:lang w:eastAsia="en-NZ"/>
              </w:rPr>
              <w:t>Where applicable, the client and/or family are informed following any adverse event and this is documented both on the incident form and in the clinical record. Two staff members discussed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Interpretation services are accessed in one residential home and staff are aware of the process of how to do this. In several cases, family members or staff members can be used to support communication when this is necessary. Examples of this were discussed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plan (2018-2021) and associated business plans, which are reviewed annually, outline the purpose, values, scope, direction and goals of the organisation. The documents described annual and longer term objectives and the operational plans have key measures outlined. A sample of quarterly reports to the managing director showed adequate information to monitor performance is reported, including progress against the business planning goals.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Managing Director who is the business owner and who also set up this ABI Rehabilitation service. He is supported by two general managers and a medical team chair, all of whom have current job descriptions and individual employment contracts. The Managing Director has significant knowledge of the sector, regulatory and reporting requirements and maintains currency through involvement in current research programmes and regular work with the international Commission on the Accreditation of Rehabilitation Facilities (CARF) programme the organisation is involved in.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a number of DHB’s, ACC and the MoH for intensive rehabilitation services, hospital medical, traumatic brain injury specialist residential rehabilitation, long term chronic health and residential support services. Sixty-six (66) residents were receiving services under the contracts (53 under the ACC contracts, 8 under the DHB contracts, four under MoH contracts and one private client) at the time of audit. This number includes one day rehabilitation client.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internal audit activities, a regular client and family satisfaction survey, monitoring of outcomes, clinical incidents and health and safety. The majority of these are managed on an electronic risk management programme.</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The related information is then reported and discussed at executive management meetings as well as individual management and the relevant discipline team meetings. Staff reported their involvement in quality and risk management activities through audit activities as well as their individual team meetings.  Relevant corrective actions are developed and implemented to address any shortfalls. Resident and family satisfaction surveys are completed annually. These are all analysed and reported in the annual report. All clients discharged from the intensive service complete satisfaction surveys with families and any issues are followed up. The residential services have an annual survey completed. Changes in how the service communicates with families returning clients after weekend leave is one response noted.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Policies are based on best practice and were current. The electronic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risk and compliance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Previous areas identified at the certification audit as needing improvement have now all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Organisational procedures require the information to then be loaded onto the database linked to the quality system. This is not always being completed.</w:t>
            </w:r>
          </w:p>
          <w:p w:rsidR="00EB7645" w:rsidRPr="00BE00C7" w:rsidP="00BE00C7">
            <w:pPr>
              <w:pStyle w:val="OutcomeDescription"/>
              <w:spacing w:before="120" w:after="120"/>
              <w:rPr>
                <w:rFonts w:cs="Arial"/>
                <w:b w:val="0"/>
                <w:lang w:eastAsia="en-NZ"/>
              </w:rPr>
            </w:pPr>
            <w:r w:rsidRPr="00BE00C7">
              <w:rPr>
                <w:rFonts w:cs="Arial"/>
                <w:b w:val="0"/>
                <w:lang w:eastAsia="en-NZ"/>
              </w:rPr>
              <w:t>The quality, risk and compliance manager described essential notification reporting requirements. They advised there have been no notifications of significant events made to the Ministry of Health or the DHB’s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Performance reviews are again completed at nine months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Rehabilitation assistants, nursing and therapy staff have either completed or commenced a New Zealand Qualification Authority education programme as relevant. A staff member is the internal assessor for the programme. Education records reviewed demonstrated completion of the required training. Staff reported that the annual performance appraisal process provides an opportunity to discuss individual training needs, supervision requirements and review competencies. They also report the company encourage and support all training opportunities both external and internally. Appraisals were current for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at Metcalfe Road is continually adjusting staffing levels to meet the changing needs of residents in the intensive service which is based on the Northwick Park Rehabilitation Complexity Scale. Two registered nurses (RN’s) are on duty overnight with a minimum of two RN’s on all other shifts. Allied health staff and rehabilitation assistants are rostered at all facilities.</w:t>
            </w:r>
          </w:p>
          <w:p w:rsidR="00EB7645" w:rsidRPr="00BE00C7" w:rsidP="00BE00C7">
            <w:pPr>
              <w:pStyle w:val="OutcomeDescription"/>
              <w:spacing w:before="120" w:after="120"/>
              <w:rPr>
                <w:rFonts w:cs="Arial"/>
                <w:b w:val="0"/>
                <w:lang w:eastAsia="en-NZ"/>
              </w:rPr>
            </w:pPr>
            <w:r w:rsidRPr="00BE00C7">
              <w:rPr>
                <w:rFonts w:cs="Arial"/>
                <w:b w:val="0"/>
                <w:lang w:eastAsia="en-NZ"/>
              </w:rPr>
              <w:t>The staffing at the residential houses is also adjusted to respond if client needs change. RN coverage is in place for all shifts. An afterhours on call roster is in place, including medical cover, with staff reporting that good access to advice is available when needed. Rehabilitation staff reported there were adequate staff available to complete the work allocated to them. Residents and family interviewed supported this. Observations and review of a six-week roster cycle confirmed adequate staff cover has been provided, with staff replaced in any unplanned absence. All shifts have staff with current first aid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for all aspects of medicine management. ABI uses a community pharmacy to supply medications in robotic packs, all of which are prescribed for individual clients; no extra stock is carried. Medication was securely held in all the facilities visited, in a locked cupboard within a locked office. Medication fridges are held in all facilities but very few medications are held in these at most sites.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Medi-Map and this is well embedded in the service. It is also used by the community pharmacy that provides the pharmacy service and this enables a streamlined service with good communication between staff and the pharmacy. Medication is delivered by the pharmacy and there is a robust checking process against the prescriptions before medication is taken to each house.  The pharmacy is now involved in auditing of controlled drugs and the previous corrective action is now addressed.</w:t>
            </w:r>
          </w:p>
          <w:p w:rsidR="00EB7645" w:rsidRPr="00BE00C7" w:rsidP="00BE00C7">
            <w:pPr>
              <w:pStyle w:val="OutcomeDescription"/>
              <w:spacing w:before="120" w:after="120"/>
              <w:rPr>
                <w:rFonts w:cs="Arial"/>
                <w:b w:val="0"/>
                <w:lang w:eastAsia="en-NZ"/>
              </w:rPr>
            </w:pPr>
            <w:r w:rsidRPr="00BE00C7">
              <w:rPr>
                <w:rFonts w:cs="Arial"/>
                <w:b w:val="0"/>
                <w:lang w:eastAsia="en-NZ"/>
              </w:rPr>
              <w:t>A cold chain policy has been written and temperatures are being monitored, this has addressed the previous corrective 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undertaking medicine administration are assessed annually as competent to perform the role, and all were current. </w:t>
            </w:r>
          </w:p>
          <w:p w:rsidR="00EB7645" w:rsidRPr="00BE00C7" w:rsidP="00BE00C7">
            <w:pPr>
              <w:pStyle w:val="OutcomeDescription"/>
              <w:spacing w:before="120" w:after="120"/>
              <w:rPr>
                <w:rFonts w:cs="Arial"/>
                <w:b w:val="0"/>
                <w:lang w:eastAsia="en-NZ"/>
              </w:rPr>
            </w:pPr>
            <w:r w:rsidRPr="00BE00C7">
              <w:rPr>
                <w:rFonts w:cs="Arial"/>
                <w:b w:val="0"/>
                <w:lang w:eastAsia="en-NZ"/>
              </w:rPr>
              <w:t>Self-administration occurs as part of the rehabilitation process. Clients deemed suitable to self-administer adhere to a three-phase process of learning and are required to undertake a test to prove their competence. Appropriate storage of medication is undertaken during this process.</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recorded using the incident reporting form and are reported via the clinical governance group, and where appropriate discussed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Allergies and sensitivities are clearly documented on Medi-Map and are noted on the handover board. All persons using Medi-Map have their own login that is attributable to the actions they undertake on the programme. No standing orders are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in-house, employed, trained cook provides the food service in the intensive service. A food safety programme has been submitted to the local council and the recommendations from this are being worked through by the service. A dietician is on site weekly and visits the residential homes two monthly and was observed discussing diets with clients. A core menu is planned on a four weekly rotation and changed seasonally. Nutritional needs are closely monitored with some clients keeping a food diary and having a regularly weigh. Supplementary milkshakes are available as desired for underweight clients.  Special diets are readily available, for example, diabetic, dairy and gluten free, soft, and the cook is aware of the requirements and his responsibilities for these. These aspects of the previous corrective action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In the residential service fridge and freezer temperatures are monitored, but there is a lack of guidance for staff to follow should these temperatures fluctuate outside the accepted parameters and there is an improvement required for this. Meat supplied to the residential service now has packaged dates and this addresses the previous corrective action.</w:t>
            </w:r>
          </w:p>
          <w:p w:rsidR="00EB7645" w:rsidRPr="00BE00C7" w:rsidP="00BE00C7">
            <w:pPr>
              <w:pStyle w:val="OutcomeDescription"/>
              <w:spacing w:before="120" w:after="120"/>
              <w:rPr>
                <w:rFonts w:cs="Arial"/>
                <w:b w:val="0"/>
                <w:lang w:eastAsia="en-NZ"/>
              </w:rPr>
            </w:pPr>
            <w:r w:rsidRPr="00BE00C7">
              <w:rPr>
                <w:rFonts w:cs="Arial"/>
                <w:b w:val="0"/>
                <w:lang w:eastAsia="en-NZ"/>
              </w:rPr>
              <w:t>In the intensive service menus are reviewed daily for all clients and these are signed off by the SLT, RN and RPC before giving them to the cook in the evening for the next day. The cook discussed being aware of when client’s requirements change from soft to general diets, and he shares in the pleasure of clients’ progress.</w:t>
            </w:r>
          </w:p>
          <w:p w:rsidR="00EB7645" w:rsidRPr="00BE00C7" w:rsidP="00BE00C7">
            <w:pPr>
              <w:pStyle w:val="OutcomeDescription"/>
              <w:spacing w:before="120" w:after="120"/>
              <w:rPr>
                <w:rFonts w:cs="Arial"/>
                <w:b w:val="0"/>
                <w:lang w:eastAsia="en-NZ"/>
              </w:rPr>
            </w:pPr>
            <w:r w:rsidRPr="00BE00C7">
              <w:rPr>
                <w:rFonts w:cs="Arial"/>
                <w:b w:val="0"/>
                <w:lang w:eastAsia="en-NZ"/>
              </w:rPr>
              <w:t>Where the residential service uses pureed food, this is purchased externally and delivered frozen. The dietician monitors this service.  In some homes clients help staff to cook meals as part of their rehabilitation programme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guided by the philosophy of ABI. The care and rehabilitation services provided are specifically designed for the client’s assessed needs and desired outcomes. Service interventions are an integral part of the rehabilitation programme.  Plans are focused on the clients’ goals.  Plans are made with the client if they are cognitively able, or with their family and one family were able to discuss this. </w:t>
            </w:r>
          </w:p>
          <w:p w:rsidR="00EB7645" w:rsidRPr="00BE00C7" w:rsidP="00BE00C7">
            <w:pPr>
              <w:pStyle w:val="OutcomeDescription"/>
              <w:spacing w:before="120" w:after="120"/>
              <w:rPr>
                <w:rFonts w:cs="Arial"/>
                <w:b w:val="0"/>
                <w:lang w:eastAsia="en-NZ"/>
              </w:rPr>
            </w:pPr>
            <w:r w:rsidRPr="00BE00C7">
              <w:rPr>
                <w:rFonts w:cs="Arial"/>
                <w:b w:val="0"/>
                <w:lang w:eastAsia="en-NZ"/>
              </w:rPr>
              <w:t>In the intensive service the client’s day is programmed around their interventions and these include rest periods. Each goal is accompanied by interventions that the MDT therapists work towards each day. In both services progress is documented at each contact and as the client achieves steps towards their goals. Changes in interventions are documented as protocols, and all staff sign the protocols to ensure that they are giving the care and treatment that is required. In the residential service interventions are not the main focus of the client’s day but all interventions are documented and contribute towards the persons goals.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in the intensive service are planned as part of the client’s individual rehabilitation programme and are predominantly based around occupational therapy and physiotherapy. Two families spoken with were engaged in undertaking meaningful activities with their family member while they were visiting. All activities are meaningful and contribute towards the clients’ programmes.</w:t>
            </w:r>
          </w:p>
          <w:p w:rsidR="00EB7645" w:rsidRPr="00BE00C7" w:rsidP="00BE00C7">
            <w:pPr>
              <w:pStyle w:val="OutcomeDescription"/>
              <w:spacing w:before="120" w:after="120"/>
              <w:rPr>
                <w:rFonts w:cs="Arial"/>
                <w:b w:val="0"/>
                <w:lang w:eastAsia="en-NZ"/>
              </w:rPr>
            </w:pPr>
            <w:r w:rsidRPr="00BE00C7">
              <w:rPr>
                <w:rFonts w:cs="Arial"/>
                <w:b w:val="0"/>
                <w:lang w:eastAsia="en-NZ"/>
              </w:rPr>
              <w:t>In the residential service where the rehabilitation programme is not so intensive, there is an opportunity for clients to undertake more everyday activities alongside their rehabilitation programmes. One home tries to take clients out for a trip on a Friday; they may visit the Zoo, Butterfly Creek, the museum, for example.  Photographs of trips were displayed in the home and people reported enjoying these outings. As able, some clients go home with family for days or weekends. Where clients are unable to go into the community (due to inappropriate behaviour, for example), there are a variety of in-house activities that are available (eg, board games, baking, singing). In one home it was observed that staff were engaged with clients doing activities as was a family member in the other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goal has a number of interventions, most are related to a therapy, and they are evaluated by each of the therapists.  Interventions will be at planned times during the week and after each contact the therapist will document the progress of the interventions.  In the intensive service there is evaluation and documentation by each of the therapists after every intervention. Handover meetings between MDT members discuss progress during the previous shift.  In the residential service a formal evaluation, clinical review, is undertaken by the MDT at a Wednesday meeting where all clients in a specific house are reviewed. All longer term clients in the service have an annual clinical review.</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noted, interventions are changed to reflect this, for example a person may only be standing then progress to walking with aid and eventually to walk unaided. Each time this intervention changes it is documented in a protocol and all staff sign to say they understand this change. If there is any training required for an intervention, therapists will instruct staff if they are unsure. Likewise, where there is no progress or an intervention is not achievable, it is changed to a different level or replaced with a different intervention and this is monitored in the same way as above.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publicly displayed at Metcalfe Road (expiry 18/12/18), and two at Swanson Road (expiry dates: 21/10/18, 13/08/19). 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A maintenance register is now in place for all houses with checking and prioritising of jobs being completed. A previous corrective action around the required checking of all equipment, asset registers and maintenance processes have now been addressed and this standard is now fully achieved.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which was sighted, has been updated for 2017/18. The infection control team meet three monthly and have reviewed their terms of reference. The committee is now keeping minutes of their meetings and these were sighted. This was a corrective action from the previous audit and has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determined the type of surveillance appropriate to the whole service and has recently introduced a process for capturing these infections directly from the client management system.  In the intensive service methicillin-resistant Staphylococcus aureus (MRSA) is swabbed for routinely on all clients and treated where appropriate. Urinary tract and respiratory infections are the most common infections recorded across both services. Results are graphed, collectively for both services, and presented to the clinical governance group where trends are monitored.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coordinators provide support and oversight for enabler and restraint management at the Metcalfe Road facility and the residential houses. Both demonstrated a sound understanding of the organisation’s policies, procedures and practice and their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a total of 23 residents were using restraints and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confirmed by the regular restraint review documentation of those clients who have approved restraints and from interviews with staff. Given the nature of the service, it is sometimes necessary to implement some form of restraint, but this is usually on a very temporary basis until the client can give approval for supports to remain safe. The more common form of supporting many clients with high needs practised is having one on one supervision.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59"/>
        <w:gridCol w:w="1280"/>
        <w:gridCol w:w="6537"/>
        <w:gridCol w:w="2353"/>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for adverse event is not being fully completed as per the required procedures. Individual client files checked were all being completed as required with relevant corrective actions being implemented, but the investigation details are not then transferred into the main quality electronic recording system. The system is used by the quality manager to analyse incidents by type and frequency to inform the quality programme and translate into any corrective activity planning that may be appropriate at an organisational level. Forty-seven (47) events currently remain incomplete on the database in the period 1 January to 1 July 2018. An email alert system is in place, but this has not resulted in the required responses from managers.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While all adverse events are documented on the required forms with any actions detailed, not all documentation is being transferred onto the organisational database with the outcomes noted, which then allows for appropriate analysis to be completed and included in the quality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load the required adverse documentation onto the quality database in line with organisational procedures.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process to address the previous corrective action, new thermometers for fridges and freezers have been purchased for some homes. The RN acknowledged that not all thermometers have been replaced.  Temperatures of fridges and freezers were recorded daily in all the homes visited. However, there was no guidance for staff to follow about the required temperatures, or what to do if the temperatures are outside of the accepted parameters, which was the case in one of the homes visited. Staff were asked what they would do in this circumstance but were not sure. This is part of the previous corrective action that has not been addressed and remains open. The risk is reduced to low because the other aspects of this corrective action have been addressed, as described above.</w:t>
            </w:r>
          </w:p>
          <w:p w:rsidR="00EB7645" w:rsidRPr="00BE00C7" w:rsidP="00BE00C7">
            <w:pPr>
              <w:pStyle w:val="OutcomeDescription"/>
              <w:spacing w:before="120" w:after="120"/>
              <w:rPr>
                <w:rFonts w:cs="Arial"/>
                <w:b w:val="0"/>
                <w:lang w:eastAsia="en-NZ"/>
              </w:rPr>
            </w:pPr>
            <w:r w:rsidRPr="00BE00C7">
              <w:rPr>
                <w:rFonts w:cs="Arial"/>
                <w:b w:val="0"/>
                <w:lang w:eastAsia="en-NZ"/>
              </w:rPr>
              <w:t>Freezers in homes visited have temperature monitoring as above, but ice had built up in both of these and was impinging on the seals.  No check list of defrosting was available although staff stated that they knew it should be done fortnightly.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home recorded refrigerator temperatures that have fluctuated daily for six days above the normal parameters. There was no evidence that any action has been taken to investigate this.  Freezers in two homes are iced up and need defrosting.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guidance is available for staff to follow when fridge temperatures are outside of normal parameters and required actions are documented.  Ensure that freezers are defrosted according to the house rules and this is signed for when done.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ABI Rehabilitation New Zealand Limited</w:t>
    </w:r>
    <w:bookmarkEnd w:id="58"/>
    <w:r>
      <w:rPr>
        <w:rFonts w:cs="Arial"/>
        <w:sz w:val="16"/>
        <w:szCs w:val="20"/>
      </w:rPr>
      <w:tab/>
      <w:t xml:space="preserve">Date of Audit: </w:t>
    </w:r>
    <w:bookmarkStart w:id="59" w:name="AuditStartDate1"/>
    <w:r>
      <w:rPr>
        <w:rFonts w:cs="Arial"/>
        <w:sz w:val="16"/>
        <w:szCs w:val="20"/>
      </w:rPr>
      <w:t>15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