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Portwell Care Limited - Cook St Nursing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Portwell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Cook St Nursing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September 2018</w:t>
      </w:r>
      <w:bookmarkEnd w:id="7"/>
      <w:r w:rsidRPr="009418D4">
        <w:rPr>
          <w:rFonts w:cs="Arial"/>
        </w:rPr>
        <w:tab/>
        <w:t xml:space="preserve">End date: </w:t>
      </w:r>
      <w:bookmarkStart w:id="8" w:name="AuditEndDate"/>
      <w:r w:rsidR="00A4268A">
        <w:rPr>
          <w:rFonts w:cs="Arial"/>
        </w:rPr>
        <w:t>21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Change rest home bedrooms 4, 8, 9, and 10 to dual purpose rooms. There will be no change in the total number of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Cook Street Nursing Care Centre was purchased by Portwell Care Limited in November 2017 and is privately owned.  Residential care is provided for up to 30 residents. On the first day of audit there were 29 beds occupied.</w:t>
      </w:r>
    </w:p>
    <w:p w:rsidRPr="00A4268A">
      <w:pPr>
        <w:spacing w:before="240" w:line="276" w:lineRule="auto"/>
        <w:rPr>
          <w:rFonts w:eastAsia="Calibri"/>
        </w:rPr>
      </w:pPr>
      <w:r w:rsidRPr="00A4268A">
        <w:rPr>
          <w:rFonts w:eastAsia="Calibri"/>
        </w:rPr>
        <w:t>This certification audit has been undertaken to establish compliance with the Health and Disability Services Standards and the district health board contract.  The audit process included review of policies and procedures, review of residents’ and staff files, observations and interviews with residents, families, management, staff, a general practitioner and a physiotherapist.</w:t>
      </w:r>
    </w:p>
    <w:p w:rsidRPr="00A4268A">
      <w:pPr>
        <w:spacing w:before="240" w:line="276" w:lineRule="auto"/>
        <w:rPr>
          <w:rFonts w:eastAsia="Calibri"/>
        </w:rPr>
      </w:pPr>
      <w:r w:rsidRPr="00A4268A">
        <w:rPr>
          <w:rFonts w:eastAsia="Calibri"/>
        </w:rPr>
        <w:t>A partial provisional audit was also undertaken to establish the level of preparedness of the provider to provide a reconfigured service. The proposed change consists of four rest home rooms to dual purpose rooms. The completion of a partial provisional audit confirmed the provider’s preparedness to provide the reconfigured service.</w:t>
      </w:r>
    </w:p>
    <w:p w:rsidRPr="00A4268A">
      <w:pPr>
        <w:spacing w:before="240" w:line="276" w:lineRule="auto"/>
        <w:rPr>
          <w:rFonts w:eastAsia="Calibri"/>
        </w:rPr>
      </w:pPr>
      <w:r w:rsidRPr="00A4268A">
        <w:rPr>
          <w:rFonts w:eastAsia="Calibri"/>
        </w:rPr>
        <w:t xml:space="preserve">Continuous improvement ratings have been awarded relating to palliative care, person centred care planning and activities. There were no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facility manager is responsible for the management of complaints and a complaints register is in place.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Portwell Care Limited is the governing body and is responsible for the services provided. There is a business plan that documents vision, direction and goals. Systems are in place for monitoring the services provided. </w:t>
      </w:r>
    </w:p>
    <w:p w:rsidRPr="00A4268A">
      <w:pPr>
        <w:spacing w:before="240" w:line="276" w:lineRule="auto"/>
        <w:rPr>
          <w:rFonts w:eastAsia="Calibri"/>
        </w:rPr>
      </w:pPr>
      <w:r w:rsidRPr="00A4268A">
        <w:rPr>
          <w:rFonts w:eastAsia="Calibri"/>
        </w:rPr>
        <w:t>The owners work in the business; one is a registered nurse and has the position of facility manager and the other is responsible for the overall building maintenance and sourcing of supplies and purchases. The facility manager has experience in managing other aged care facilities. The facility manager is also responsible for the clinical services and is supported by a clinical nurse leader.</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Staff and resident meetings are held on a regular basis.</w:t>
      </w:r>
    </w:p>
    <w:p w:rsidRPr="00A4268A">
      <w:pPr>
        <w:spacing w:before="240" w:line="276" w:lineRule="auto"/>
        <w:rPr>
          <w:rFonts w:eastAsia="Calibri"/>
        </w:rPr>
      </w:pPr>
      <w:r w:rsidRPr="00A4268A">
        <w:rPr>
          <w:rFonts w:eastAsia="Calibri"/>
        </w:rPr>
        <w:t>There are policies and procedures on human resources management. Human resource processes are followed. An in-service education programme is provided, and staff performance is monitored.</w:t>
      </w:r>
    </w:p>
    <w:p w:rsidRPr="00A4268A">
      <w:pPr>
        <w:spacing w:before="240" w:line="276" w:lineRule="auto"/>
        <w:rPr>
          <w:rFonts w:eastAsia="Calibri"/>
        </w:rPr>
      </w:pPr>
      <w:r w:rsidRPr="00A4268A">
        <w:rPr>
          <w:rFonts w:eastAsia="Calibri"/>
        </w:rPr>
        <w:t>There is a documented rationale for determining staffing levels and skill mixes to provide safe service delivery that is based on best practice. The facility manager is on call after hours.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an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communication sheets, key worker allocations and low staff turnover supports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displayed. A preventative and reactive maintenance programme includes equipment and electrical checks. </w:t>
      </w:r>
    </w:p>
    <w:p w:rsidRPr="00A4268A">
      <w:pPr>
        <w:spacing w:before="240" w:line="276" w:lineRule="auto"/>
        <w:rPr>
          <w:rFonts w:eastAsia="Calibri"/>
        </w:rPr>
      </w:pPr>
      <w:r w:rsidRPr="00A4268A">
        <w:rPr>
          <w:rFonts w:eastAsia="Calibri"/>
        </w:rPr>
        <w:t>Residents’ bedrooms provide single accommodation.  Residents' rooms have adequate personal space provided. Lounges, dining area and alcoves are available.  External areas for sitting and shading are provided. An appropriate call bell system and security and emergency systems are in place.</w:t>
      </w:r>
    </w:p>
    <w:p w:rsidRPr="00A4268A">
      <w:pPr>
        <w:spacing w:before="240" w:line="276" w:lineRule="auto"/>
        <w:rPr>
          <w:rFonts w:eastAsia="Calibri"/>
        </w:rPr>
      </w:pPr>
      <w:r w:rsidRPr="00A4268A">
        <w:rPr>
          <w:rFonts w:eastAsia="Calibri"/>
        </w:rPr>
        <w:t>Protective equipment and clothing are provided and used by staff. Chemicals, soiled linen and equipment are safely stored. Personal laundry is washed on site, all other laundry is contracted out. Cleaning and laundry systems are audited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policy reflects the requirements of the restraint minimisation and safe practice standard and identifies the use of enablers is voluntary and the least restrictive option to meet residents’ needs. At the time of audit there were no residents using restraint. There were three residents using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an external advisor and the MidCentral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77"/>
        <w:gridCol w:w="1280"/>
        <w:gridCol w:w="98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Cook St Nursing Care Centre (CSNCC)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including for photographs, outings,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related to the Advocacy Service were also displayed in the facility, and additional brochures were available in the entrance foyers. Family members, residents and staff spoken with were aware of the Advocacy Service, how to access this and the resident’s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having the community actively involved in the goings on in the facility,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there is complaints information and service improvement forms available at the entrances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shows no complaints have been received since the previous audit. The facility manager (FM) is responsible for the management of complaints and confirmed this. Staff interviewed demonstrated a good understanding of the complaint process and what actions are required. Numerous complements have been received from families since the previous audit about the high standard of care provided to their relative.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reported there have been no investigations by the Health and Disability Commissioner, the Ministry of Health, District Health Board (DHB), Accident Compensation Corporation (ACC), Coroner or Police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discussion with staff. The Code is displayed and brochures were available in common areas and entry foyers together with information on advocacy services, how to make suggestions on areas that could be improved,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 services they received were provided in a manner that has regard for their dignity, privacy, sexuality, spirituality and choices. “Residents and families interviewed provided positive feedback about the staff, care and management.”</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in discussions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in CSNCC at the time of audit who identify as Māori, however interviews verified that staff (some of whom identify as Maori), can support residents who identify as Māori to integrate their cultural values and beliefs if required. The concept of ‘Te Whare Tapa Wha’, the four cornerstones of Maori health, embraces all people from all cultures and is the philosophy by which CSNCC practices. The principles of the Treaty of Waitangi are incorporated into day to day practice, as is the importance of whānau to Māori residents. There is a comprehensive Māori health plan developed with input from cultural advisers.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GP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‘Sequel’ team, district nurses, oncology services, respiratory specialists, physiotherapist, wound care specialist, community dieticians and services for older people. RNs can access training provided by the MidCentral District Health Board (MCDHB) in addition to accessing the MCDHB’s online learning hub. Care staff are supported to update their knowledge with access to external training providers, access to on line training in addition to the in-service training offered on site. The facility manager (FM) is a member of the NZ College of Nurses, New Zealand Nurses’ Organisation special gerontology interest group, and a member the Aged Care Residential Care forum. The FM reviews all the policies, and ensures they are in line with best practice standards. As part of the ‘Sequel’ project (refer criterion 1.2.3.1) the hospice nurse practitioner visits every six weeks to address any learning deficits to support the services commitment to providing quality palliative care.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resident centred care. Staffing numbers exceeded that of safe staffing guidelines, staff were not hurried and had time to care, call bells were responded to promptly and staff were happy and verbalised they felt valued. Set regular shifts enabled work commitments to fit with family commitments and enable work life balance. Residents and families were complimentary of the care provided. The community was actively involved in the day to day functioning, for example, there was school/preschool children mingling in addition to participation in events by community groups. The facility was observed to be a ‘hive of activity’. Managements’ philosophy of care is committed to ensuring staff enjoyed their work and enabled residents to have the best quality of life they can (refer criterion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through family members, staff, or the interpreter services available through the MCDHB via Interpreting New Zealand when required. Staff knew how to access interpreter services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Portwell Care Limited is responsible for the services provided.  A business plan includes personal and facility visions, five goals with timeframes for review and includes a purpose, scope and direction. An organisational chart sets out the structure of the organisation. The owner/FM stated they are on site every day and meet with the clinical nurse leader (CNL) each day and discuss all matters pertaining to clinical governance. Both the FM and CNL stated they are in constant communication.</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one of the owners who is a registered nurse with extensive aged care experience who has been in this position since taking over ownership in November 2017. There was evidence in the FM and CNLs’ files of appropriate ongoing education. The facility manager is supported by the CNL/RN.</w:t>
            </w:r>
          </w:p>
          <w:p w:rsidR="00EB7645" w:rsidRPr="00BE00C7" w:rsidP="00BE00C7">
            <w:pPr>
              <w:pStyle w:val="OutcomeDescription"/>
              <w:spacing w:before="120" w:after="120"/>
              <w:rPr>
                <w:rFonts w:cs="Arial"/>
                <w:b w:val="0"/>
                <w:lang w:eastAsia="en-NZ"/>
              </w:rPr>
            </w:pPr>
            <w:r w:rsidRPr="00BE00C7">
              <w:rPr>
                <w:rFonts w:cs="Arial"/>
                <w:b w:val="0"/>
                <w:lang w:eastAsia="en-NZ"/>
              </w:rPr>
              <w:t>The service’s philosophy is in an understandable form and is available to residents and their family/representative or other services involved in referring residents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accommodation for 30 residents. On the first day of this audit there were 29 residents. The facility has contracts with the DHB for rest home and hospital level care including medical, palliative and respite services and health recovery.  Ten residents have been assessed as requiring rest home level care, 18 hospital level care, one of whom is a health recovery resident, and one private resident under the age of 65 years receiving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The provider has made application to HealthCERT to reconfigure services from three dual purpose rooms to seven, by changing rest home rooms 4, 8, 9 and 10 to dual purpose rooms. This will result in a reduction of rest home beds from 10 to six and an increase of dual purpose rooms from three to seven. Observations, interviews and review of documentation confirmed the provider has ensured the reconfiguration of services will not impact on the services capacity to meet the requirements of the Health and disability Services Standards and the contract with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appropriate systems in place to ensure the day-to-day operation of the service continues should the facility manager be absent.  The CNL is responsible for the day-to-day management of the facility during the facility manager’s absence. The CNL is experienced in aged care and worked in the facility prior to the change in ownership. Support is also provided from the health centre situated opposite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that guides the quality programme. Risk management activities are appropriate for the size and scope of the organisation. Quality data is collected, collated, analysed and corrective action plans developed in response to identified issues in a range of ways, including audits, incident/accident reports, any complaints, surveys and deficits identified from meetings. Quality data is graphed month by month and available for staff. Staff stated they discuss trends and corrective actions at the staff meetings and at handover. The FM demonstrated sound knowledge relating to quality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have just gone out to residents and family and currently three have been returned and evidenced high levels of satisfaction. Quality and risk management issues are reported and discussed with the owners and at the facility wide six weekly meetings. Review of the meeting minutes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There has been a focus for Portwell Care Ltd systems including policies and procedures to be imbedded and fully implemented at CSNCC and this has been achieved. Staff interviewed confirmed this and reported a smooth transition. Policies and procedures are relevant to the scope and complexity of the service, reflected current accepted good practice and reference legislative requirements including reference to the interRAI.  Policies and procedures have footers that show they are current. New / reviewed policies are available for staff to read and sign off once read. Documentation is also discussed at the staff meetings. Staff interviewed confirmed this.  Staff also confirmed the policies and procedures provide appropriate guidance for service delivery and they were advised of new policies / 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policy covers all aspects of health and safety management.  Actual and potential risks are identified and documented in the hazard register. The register identifies hazards and risks including but not limited to clinical, environmental, staffing and financial and shows the actions put in place to minimise or eliminate risks. Newly found hazards/risks are communicated to staff. Hazards and safety issues are discussed at staff meetings. The health and safety representative is the FM who demonstrated a sound knowledge of health and safety. Staff confirmed they understood and implemented documented hazard/risk identification processes.</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rating has been awarded under 1.2.3.7 relating to providing a more effective end of life experience for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accident/event form. A sample of incidents forms reviewed showed these were fully completed, incidents were investigated, action plans developed and actions followed-up in a timely manner.  Adverse event data is collated and analysed by the FM and trends shared with staff through meetings and on the staff notice board. Residents’ families were advised of the incident/event in every form sampled.</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and health and safety issues.  They advised there have been no notifications of significant events made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 job descriptions which outline accountability, responsibilities and authority, employment agreements, references, completed orientation, competency assessments, police and visa vetting and training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induction programme. They are ‘buddied’ with an experienced caregiver for three weeks with constant support from the FM and CNL. The entire process, including completion of competencies, takes up to three months to complete and staff performance is reviewed at the end of this period and yearly there after unless there are performance issues. 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FM and CNL. Records are held for staff attendance at training sessions and competencies for medicine management and restraint. In-service education provided for staff and documentation evidenced this is provided at least monthly. Online modules are available and clinical staff have attended the palliative care programme.  External educators provide some sessions and the RNs also attend education sessions provided by the DHB. The RNs are expected to present any sessions they attend to the rest of the staff. Staff have current first aid certificates, and these were sighted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 Careerforce education programme is also available for staff to complete and staff are encouraged to do so. The FM is the facility assessor for the programme.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induction,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that determines the staffing levels and skill mix to provide for safe service delivery. The service is covered 24 hours per day, seven days per week and an RN is always on duty in the facility.  Staffing is adjusted based on interRAI assessments for acuity and/or occupancy. ‘On-call’ is provided by the FM and the CNL.  Rosters reviewed over a one-month period evidenced staffing levels are above the requirements of the Aged Residential Care Contract requirements. Staff interviewed confirmed they complete their work easily and residents and families stated there is always staff available in the facility. The FM and CNL work full time. Four RNs are interRAI trained as well as the FM. There are dedicated household staff including laundry and cleaning staff and the maintenance person is one of the owners. Staff are replaced in the event of planned or unplanned absences. Contracted services include a facility GP, pharmacist, physiotherapist and a podiatrist. The FM reported staffing levels will be adjusted if acuity levels increase with the change from four rest home beds to dual-purpose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were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form part of the residents permanent records, and are archived electronically in the medication management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the CSNCC when their required level of care has been assessed and confirmed by the local Needs Assessment and Service Coordination (NASC) Service. Prospective residents and/or their families are encouraged to visit the facility prior to admission and meet with the FM or the clinical nurse leader (CNL).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MCDHB ‘pink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FM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- 1 September 2017. Recommendations made at that time have been implemented. A food control plan has been registered with the Ministry of Primary industries (MPI) 6 July 2018.</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main meal at CSNCC is served in the evening with a light meal of soup and a hot dish served at lunchtime. Residents verified satisfaction with the main meal in the evening.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was enough staff on duty in the dining rooms at meal 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FM.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CSNCC are initially assessed using a range of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In all files reviewed, initial assessments are completed as per the policy and within 24 hours of admission. Except for the respite resident, interRAI assessments are completed within three weeks of admission and at least six monthly unless the resident’s condition changes. Interviews, documentation and observation verifies the RNs are familiar with requirement for reassessment of a resident using the interRAI assessment tool when a resident has increasing or changing need levels. Five residents’ files reviewed noted changes in care levels and subsequent reassessments being made.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medication management system, is a secure portal and is used to record the effectiveness of any changes in medications and the effectiveness of any pro re nata (PRN) medication administered. Additional information other than medication data is also recorded. Residents weighs are recorded and graphed and wounds are photographed, and the photos uploaded. The GP can then review this data off site if required, and action any changes needed. </w:t>
              <w:br/>
              <w:br/>
              <w:t>All residents have current interRAI assessments completed by one of the five RNs who are interRAI trained.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philosophy of care at CSNCC encompasses a planned approach to resident centred care. This is an area recognised as one of continuous improvement. Plans reviewed reflected an individualised approach that supports the needs of residents, and the outcomes of the integrated assessment process and other relevant clinical information.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at CSNCC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qualified diversional therapist with the assistance of twenty volunteers. A improvement initiative to expand the social opportunities and new events available to residents is recognised as an area of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activity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‘move and groove’ with the physio, visiting entertainers, quiz sessions, school and preschool visits, pet visits, van outings, church services, theme events, ‘men’s club’ outings and daily news updates. 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care plans are consistently reviewed when short term problems arise (that is,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Safe and appropriate waste management procedures including hazardous substances are in place and incidents are reported in a timely manner.  Policies and procedures specify labelling requirements in line with legislation, including the requirement for labels to be clear, accessible to read and free from damage.  Material safety data sheets are available and accessible for staff. Staff receive training and education to ensure safe and appropriate handling of waste and hazardous substances.  The laundry person demonstrated a good knowledge concerning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Protective clothing and equipment including gloves, full face visor and disposable aprons were observed appropriate to recognised risks.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was displayed that expires on the 23 February 2019. The facility is well maintained both internally and externally. A preventive and a reactive maintenance programme is implemented and hot water temperatures are within the recommended range. Testing and tagging of equipment and calibration of biomedical equipment is current.</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throughout the facility for residents to frequent. The facility surrounds a court yard with gardens, lawns and outside furniture for residents to enjoy. Surfaces, both internal and external are flat.  Residents were observed to easily manage with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and there is a mix of shared ensuites and rooms without ensuites. There are adequate showers and toilets located throughout the facility. Locking devices were observed for privacy.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families interviewed reported that there were sufficient toilets and showers and that they are easy to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large and smaller bedrooms. Three rooms (2, 13 and 14) are available to accommodate residents assessed as requiring hospital or rest home level care (dual purpose). Bedrooms are large enough to provide personal space for residents, and allow staff and equipment to move around safely, including the bedrooms identified for the planned reconfiguration of services. Rest home rooms 4, 8, 9, and 10 for reconfiguration to dual purpose use are fit for this purpose.</w:t>
            </w:r>
          </w:p>
          <w:p w:rsidR="00EB7645" w:rsidRPr="00BE00C7" w:rsidP="00BE00C7">
            <w:pPr>
              <w:pStyle w:val="OutcomeDescription"/>
              <w:spacing w:before="120" w:after="120"/>
              <w:rPr>
                <w:rFonts w:cs="Arial"/>
                <w:b w:val="0"/>
                <w:lang w:eastAsia="en-NZ"/>
              </w:rPr>
            </w:pPr>
            <w:r w:rsidRPr="00BE00C7">
              <w:rPr>
                <w:rFonts w:cs="Arial"/>
                <w:b w:val="0"/>
                <w:lang w:eastAsia="en-NZ"/>
              </w:rPr>
              <w:t>Rooms are appropriately furnished and maintained. Residents interviewed spoke positively about their accommodation. There is room to store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areas within the building to frequent, including dining and lounge areas that are easily accessed by residents. Residents can access areas for privacy if required.  Furniture is appropriate to the setting and arranged in a manner which enables residents to mobilise freely. Residents and families interviewed reported there are adequate areas for them to access and enjoy.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Personal laundry is washed and dried on site and all other laundry is carried out by an external contractor. Cleaning of the facility is completed by dedicated cleaners who demonstrated good knowledge including auditing of the cleaning and laundry processes. Review of audits confirmed this. Chemicals are stored securely. All chemicals were in appropriately labelled containers. The company representative visits monthly and provides on-going training for staff. Cleaning equipment and linen bags are colour coded for different uses.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evacuation scheme was approved by the New Zealand Fire Service on the 2 February 2007. Fire drills are completed six-monthly, the most recent held on the 30 July 2018. There have been no building alterations since the previous audit. The emergency plan details emergency preparedness. Staff confirmed their awareness of emergency procedures. The orientation programme includes fire and security training. All required fire equipment has been checked and is current.</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There are adequate supplies in the event of a civil defence emergency including food, water, blankets, cell phones and a gas BBQ.  A portable generator supplies emergency power. A call bell system alerts staff to residents who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The doors are locked in the evenings and external security lights are on overnight. Security cameras are situated at points around the court yard.  Staff also complete security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Heating is via panel heaters in all areas including individual heaters in the bedrooms. Residents are provided with safe ventilation and an environment that is maintained at a safe and comfortable temperature.  All residents’ rooms have natural light. The service has a smoke free policy that includes the external areas. Residents and families confirmed the facility is maintained at a comfortable temperature. During the audit, the temperature was appropriate in all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FM.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FM is the designated infection control nurse, whose role and responsibilities are defined in a job description. Infection control matters, including surveillance results, are reported monthly to the FM and tabled at the staff meeting. Infection control statistics are entered in the organisation’s electronic database and graphed to enable easy analysis.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The ICN has undertaken training in infection prevention and control and attended relevant study days, within the last year. Well-established local networks with the infection control team at the DHB are available and expert advice from an external advisory service is available if additional support/information is required.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and FM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influenza outbreak.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FM review all reported infections. Monthly surveillance data is collated and analysed to identify any trends, possible causative factors and required actions. Results of the surveillance programme are shared with staff via staff meetings and at staff handovers. Surveillance data is entered in the organisation’s electronic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policy includes a definition, assessment and evaluation and complies with the requirements of the standard. The restraint coordinator, who is a RN was unavailable for interview. The FM reported the aim for Cook Street Nursing Care Centre is not to use any form of restraint. There were no residents using a restraint at the time of audit, and three residents using an enabler. Sensor mats, ‘crash mats’ and low-low beds are used so that restraint is not required. Staff interviewed demonstrated knowledge of the difference between a restraint and an enabler and the process should a resident request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8024"/>
        <w:gridCol w:w="27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residents at CSNCC were receiving effective end of life care, it was recognised that it sometimes depended on the GP and the ability of staff to predict and recognise when to commence end of life care for the resident and their family including what time of the day, whether during the week with a lot of support around or after hours. This resulted in questions around how staff knew they were providing appropriate palliative care, how could it be measured and how could it be consistent for all residents in their care.  Feedback received indicated families and residents wanted time to plan and to know what to expect when end of life came.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local hospice received funding to roll out a project across the MidCentral district called SEQUAL (Supportive Education and Quality Palliative Care). Cook Street Nursing Care Centre (CSNCC), with a focus on improving end of life care to residents, was selected as a pilot site to partner with Arohanui Hospice. The project aimed to empower CSNCC to ensure primary palliative care and the palliative approach to residential care is delivered, measurable and sustainable. </w:t>
            </w:r>
          </w:p>
          <w:p w:rsidR="00EB7645" w:rsidRPr="00BE00C7" w:rsidP="00BE00C7">
            <w:pPr>
              <w:pStyle w:val="OutcomeDescription"/>
              <w:spacing w:before="120" w:after="120"/>
              <w:rPr>
                <w:rFonts w:cs="Arial"/>
                <w:b w:val="0"/>
                <w:lang w:eastAsia="en-NZ"/>
              </w:rPr>
            </w:pPr>
            <w:r w:rsidRPr="00BE00C7">
              <w:rPr>
                <w:rFonts w:cs="Arial"/>
                <w:b w:val="0"/>
                <w:lang w:eastAsia="en-NZ"/>
              </w:rPr>
              <w:t>The strategic goal of the SEQUAL project is to facilitate the vision: “All people with life limiting conditions live well and die well irrespective of their condition or care setting” within the aged residential care setting.  A dedicated GP service for CSNCC has assisted in enabling this philosophy to be lived. The pilot site criteria was established as: facility philosophy that supports a palliative care approach; approved as suitable by the DHB; ARC management team supportive of SEQUAL proposal; FM in place for six months or more; able to identify a SEQUAL champion to be point of reference for SEQUAL communication; audit cycle three yearly +; any PA’s low risk; and GP or NP keen to see the project succeed.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SEQUAL team completed a documentation review pre and post project. Post project showed improvement in all measurable areas of documentation. Showing anticipatory medications being charted, advance care plan discussions occurring, and no transfers to hospital for end of life (EOL) management.  A palliative approach to care (PAC) has been incorporated in to documentation and includes quality targets.  The PAC philosophy links with the Te Whare Tapa Whā philosophy. </w:t>
            </w:r>
          </w:p>
          <w:p w:rsidR="00EB7645" w:rsidRPr="00BE00C7" w:rsidP="00BE00C7">
            <w:pPr>
              <w:pStyle w:val="OutcomeDescription"/>
              <w:spacing w:before="120" w:after="120"/>
              <w:rPr>
                <w:rFonts w:cs="Arial"/>
                <w:b w:val="0"/>
                <w:lang w:eastAsia="en-NZ"/>
              </w:rPr>
            </w:pPr>
            <w:r w:rsidRPr="00BE00C7">
              <w:rPr>
                <w:rFonts w:cs="Arial"/>
                <w:b w:val="0"/>
                <w:lang w:eastAsia="en-NZ"/>
              </w:rPr>
              <w:t>Evaluation of the project resulted in the end of life wishes documented in residents’ files, 100% of anticipated deaths have an end of life care plan in place, anticipatory conversations take place in a supported environment with GP involved as required, anticipatory medications are charted for symptom management so the need for transfer to a DHB hospital is not required. A family survey was developed that is sent out three months post death. Surveys received showed very positive results indicating the changed approach to end of life care has made a difference. A staff survey by SEQUAL indicated gains in confidence with care and conversations. Strong working relationships have developed with the local hospice and the facility GP.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project has facilitated improved end of life outcomes for residents and their families with support from the local hospice and facility GP. Residents to date have not been required to be transferred to the DHB hospital.  Family feedback has been very positive with reports that the enhanced approach to end of life care has made a difference in understanding the processes involved. Staff have a better understanding of the palliative approach to care and stated they are more confident with initiating end of life care and discussing this with residents and their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model of care at CSNCC is based on ‘Te Whare Tapa Wha’ and encompasses the cornerstones of care and humanity. It is stated that “ The kindness and acceptance of meeting people where they are and building on this is the culture of CNSCC”. Staffing levels are higher than those recommended by safe staffing guidelines, to ensure care staff have time to care.</w:t>
            </w:r>
          </w:p>
          <w:p w:rsidR="00EB7645" w:rsidRPr="00BE00C7" w:rsidP="00BE00C7">
            <w:pPr>
              <w:pStyle w:val="OutcomeDescription"/>
              <w:spacing w:before="120" w:after="120"/>
              <w:rPr>
                <w:rFonts w:cs="Arial"/>
                <w:b w:val="0"/>
                <w:lang w:eastAsia="en-NZ"/>
              </w:rPr>
            </w:pPr>
            <w:r w:rsidRPr="00BE00C7">
              <w:rPr>
                <w:rFonts w:cs="Arial"/>
                <w:b w:val="0"/>
                <w:lang w:eastAsia="en-NZ"/>
              </w:rPr>
              <w:t>With a change in ownership of CSNCC, an initiative was implemented to revive the model of care and emphasise managements continual commitment to the model.   Management has an open-door policy that enables any opportunity for improvement to be listened to, encouraged and implemented. Staff feel valued, staff turnover is low, and staff feel well supported, as evidenced by interviews and staff satisfaction surveys. Staff enjoy being at work and are enabled to care well. Physiotherapy services are provided, to enable residents increased strength and tone. A move to the facility’s own GP (with residents’ consent), enables GP services to be provided by a GP who is interested in providing expert service that is responsive to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Evaluation evidenced resident wellbeing has improved. A number of residents have either improved to require a reduction in support needs or have been able to return home.</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provide evidence of improvement in resident wellbeing and overall improvement in quality of life, as a result of the care provided by CSNCC.</w:t>
            </w:r>
          </w:p>
          <w:p w:rsidR="00EB7645" w:rsidRPr="00BE00C7" w:rsidP="00BE00C7">
            <w:pPr>
              <w:pStyle w:val="OutcomeDescription"/>
              <w:spacing w:before="120" w:after="120"/>
              <w:rPr>
                <w:rFonts w:cs="Arial"/>
                <w:b w:val="0"/>
                <w:lang w:eastAsia="en-NZ"/>
              </w:rPr>
            </w:pPr>
            <w:r w:rsidRPr="00BE00C7">
              <w:rPr>
                <w:rFonts w:cs="Arial"/>
                <w:b w:val="0"/>
                <w:lang w:eastAsia="en-NZ"/>
              </w:rPr>
              <w:t>Overall admission rates from CSNCC to the MCDHB have dropped.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philosophy of care at CSNCC is based around ‘Te Whare Tapa Wha’, allowing an individualised approach in the planning of care which encompasses all dimensions of wellbeing. This enables the residents to have the opportunity to regain function following admission and setbacks to their health improving quality of life and overall wellbeing.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To develop and create new events and social opportunities for the residents of CSNCC, the diversional therapist approached the local lions’ group. The Lions ladies responded, and they met to discuss the concepts that could be developed to create a partnership that would benefit the residents of CSNCC and the Lions. Calendar events were initiated - Saint Patrick’s Day, Queens Birthday, Daffodil Day and High Tea and there was a fashion show based round each of the themes. The Lions ladies participated as did the residents and families. The Lions then offered CSNCC the opportunity to support Breast Cancer awareness week. Five workshops were planned, encompassing Bra Art. The Lion’s ladies assisted the residents to decorate the bras and entered them into the Palmerston North Bra Art competition at the local Home Show. All the communities Bra Art was on display and attracted a gold coin vote for the best Bra Art in each category. Money raised went to breast cancer. A resident of CSNCC was a prize winner. The Lions ladies continue to be involved with CSNCC. Any events planned are now in discussion and assistance with the Lions ladies for example, the yearly memory walk. Recently a baking day was held were the Lions ladies assisted the residents to bake cakes, which were then sold to raise funds for Lions. The Lions ladies have befriended the residents and pop in most days and get involved in CSNCC. They are involved in planning CSNCC events and participate or assist as required. It is a working partnership that is of benefit to all concerned. Volunteer numbers assisting in the service has increased from five to at times more than 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initiative to expand the social opportunities, community involvement and events available to the residents of CSNCC has increased the volunteers involved in the service, improved the social networks between the service and the community and increased the diversity of the events accessible to the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Portwell Care Limited - Cook St Nursing Care Centre</w:t>
    </w:r>
    <w:bookmarkEnd w:id="58"/>
    <w:r>
      <w:rPr>
        <w:rFonts w:cs="Arial"/>
        <w:sz w:val="16"/>
        <w:szCs w:val="20"/>
      </w:rPr>
      <w:tab/>
      <w:t xml:space="preserve">Date of Audit: </w:t>
    </w:r>
    <w:bookmarkStart w:id="59" w:name="AuditStartDate1"/>
    <w:r>
      <w:rPr>
        <w:rFonts w:cs="Arial"/>
        <w:sz w:val="16"/>
        <w:szCs w:val="20"/>
      </w:rPr>
      <w:t>20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