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Karaka Court Limited - Woodlands of Palmerston North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Karaka Court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Woodlands Of Palmerston North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August 2018</w:t>
      </w:r>
      <w:bookmarkEnd w:id="7"/>
      <w:r w:rsidRPr="009418D4">
        <w:rPr>
          <w:rFonts w:cs="Arial"/>
        </w:rPr>
        <w:tab/>
        <w:t xml:space="preserve">End date: </w:t>
      </w:r>
      <w:bookmarkStart w:id="8" w:name="AuditEndDate"/>
      <w:r w:rsidR="00A4268A">
        <w:rPr>
          <w:rFonts w:cs="Arial"/>
        </w:rPr>
        <w:t>17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Woodlands of Palmerston North is one of two facilities owned by Karaka Court Ltd.  Woodlands of Palmerston North provides care for up to 38 residents at rest home and secure dementia level of care.  On the day of audit there were 25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w:t>
      </w:r>
    </w:p>
    <w:p w:rsidRPr="00A4268A">
      <w:pPr>
        <w:spacing w:before="240" w:line="276" w:lineRule="auto"/>
        <w:rPr>
          <w:rFonts w:eastAsia="Calibri"/>
        </w:rPr>
      </w:pPr>
      <w:r w:rsidRPr="00A4268A">
        <w:rPr>
          <w:rFonts w:eastAsia="Calibri"/>
        </w:rPr>
        <w:t>The service has a mission, business goals and quality goals that support the service goals of a family friendly service.</w:t>
      </w:r>
    </w:p>
    <w:p w:rsidRPr="00A4268A">
      <w:pPr>
        <w:spacing w:before="240" w:line="276" w:lineRule="auto"/>
        <w:rPr>
          <w:rFonts w:eastAsia="Calibri"/>
        </w:rPr>
      </w:pPr>
      <w:r w:rsidRPr="00A4268A">
        <w:rPr>
          <w:rFonts w:eastAsia="Calibri"/>
        </w:rPr>
        <w:t xml:space="preserve">The service is managed by a non-clinical manager and a clinical nurse leader.  Residents and relatives interviewed spoke positively about the service provided. </w:t>
      </w:r>
    </w:p>
    <w:p w:rsidRPr="00A4268A">
      <w:pPr>
        <w:spacing w:before="240" w:line="276" w:lineRule="auto"/>
        <w:rPr>
          <w:rFonts w:eastAsia="Calibri"/>
        </w:rPr>
      </w:pPr>
      <w:r w:rsidRPr="00A4268A">
        <w:rPr>
          <w:rFonts w:eastAsia="Calibri"/>
        </w:rPr>
        <w:t>There is an improvement required around staff appraisals and dementia standards training.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The personal privacy and values of residents are respected.  Individual care plans reference the cultural needs of residents.  Regular contact is maintained with families, including if a resident is involved in an incident or has a change in their current health.  Families and friends can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Data is collected, analysed and discussed, and changes are made as a result of trend analysis.  Quality improvement plans are developed when service shortfalls are identified.  Residents receive appropriate services from suitably qualified staff.  An orientation programme is in place for new staff.  There is an annual education and training plan that exceeds eight hours annually.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 well-developed assessment process and resident’s needs are assessed prior to entry.  Assessments, care plans and evaluations are completed by the registered nurse.  Residents/relatives are involved in planning and evaluating care.  Risk assessment tools and monitoring forms are available and implemented and are used to assess the level of risk and support required for residents.  Service delivery plans demonstrate service integration.  Short term care plans are in use for changes in health status.  Care plans are evaluated six monthly or more frequently when clinically indicated.  The service facilitates access to other medical and non-medical services. </w:t>
      </w:r>
    </w:p>
    <w:p w:rsidRPr="00A4268A" w:rsidP="00621629">
      <w:pPr>
        <w:spacing w:before="240" w:line="276" w:lineRule="auto"/>
        <w:rPr>
          <w:rFonts w:eastAsia="Calibri"/>
        </w:rPr>
      </w:pPr>
      <w:r w:rsidRPr="00A4268A">
        <w:rPr>
          <w:rFonts w:eastAsia="Calibri"/>
        </w:rPr>
        <w:t xml:space="preserve">The diversional therapist provides an activities programme that involves the wider community.  Each resident has an individualised plan and activities are scheduled across the week. </w:t>
      </w:r>
    </w:p>
    <w:p w:rsidRPr="00A4268A" w:rsidP="00621629">
      <w:pPr>
        <w:spacing w:before="240" w:line="276" w:lineRule="auto"/>
        <w:rPr>
          <w:rFonts w:eastAsia="Calibri"/>
        </w:rPr>
      </w:pPr>
      <w:r w:rsidRPr="00A4268A">
        <w:rPr>
          <w:rFonts w:eastAsia="Calibri"/>
        </w:rPr>
        <w:t xml:space="preserve">The service medication management system follows recognised standards and guidelines for safe medicine management practice.  Staff complete competency assessments.  </w:t>
      </w:r>
    </w:p>
    <w:p w:rsidRPr="00A4268A" w:rsidP="00621629">
      <w:pPr>
        <w:spacing w:before="240" w:line="276" w:lineRule="auto"/>
        <w:rPr>
          <w:rFonts w:eastAsia="Calibri"/>
        </w:rPr>
      </w:pPr>
      <w:r w:rsidRPr="00A4268A">
        <w:rPr>
          <w:rFonts w:eastAsia="Calibri"/>
        </w:rPr>
        <w:t>Meals are prepared on site.  Individual and special dietary needs are catered for.  Residents interviewed responded favourably about the food that was provide.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 safety is maintained.  There is adequate equipment provided to ensure the needs of residents are met and suitable equipment to provide care is available.  The building holds a current warrant of fitness.  A maintenance prevention programme is implemented.  Electrical equipment is checked annually.  There are a number of communal lounges and dining areas.  There are documented laundry services policies/procedures.  There is a plentiful supply of protective equipment, gloves, and aprons.  Appropriate training, information, and equipment for responding to emergencies is provided.  There is an approved evacuation plan.  The facility has civil defence kits and emergency management plans.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At the time of the audit there were no residents with a restraint and no residents using an enabler.  Staff regularly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8"/>
        <w:gridCol w:w="1280"/>
        <w:gridCol w:w="89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Families and residents are provided with information on admission, which includes information about the Code.  Staff receive training about resident rights at orientation and as part of the annual in-service programme.  Interviews with five care staff (three caregivers, one registered nurse (RN) and one diversional therapist) confirmed their understanding of the Code.  Four rest home residents and three rest home relatives,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general and specific consents were evident in the five resident files (two dementia and three rest home level residents including one respite who became long-term on day of audit).  Caregivers and the registered nurse interviewed, confirmed consent is obtained when delivering cares.  Resuscitation orders had been appropriately signed by the resident and general practitioner (GP).  The service acknowledges the resident is for resuscitation in the absence of a signed directive.  Copies of the enduring power of attorney was available in three of the five files reviewed.  The two without were fully competent.  Discussion with family members identifies that the service involves them in decisions that affect their relative’s lives.  Admission agreements for permanent residents and the short-stay resident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hours.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Complaints policy and procedures have been implemented and residents and their family/whānau have been provided with information on admission.  Complaint forms are available at the service.  Residents interviewed confirmed they received information on the complaints process on admission and the manager is very approachable should they have any concerns/complaints.  Care staff interviewed are aware of the complaints process and to whom they should direct complaints.  A complaints folder has been maintained.  There has been one complaint documented for 2018.  This complaint had been followed up and responded to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The RN or manager discusses the information pack with residents/relatives on admission.  Families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Staff were observed to be respectful of residents’ privacy by knocking on doors prior to entering resident rooms.  Caregivers could describe definitions around abuse and neglect that align with policy, promotes quality of life and involves residents in decisions about their care.  Resident preferences are identified during the admission and care planning process and include family involvement.  Caregivers could describe how choice is incorporated into resident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references local Māori healthcare providers and provides recognition of Māori values and beliefs.  Family/whānau involvement is encouraged in assessment and care planning and visiting is encouraged.  The director’s family is Ngati Ruanui.  During the audit, there were no residents who identified as Māori living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beliefs or values are discussed and incorporated into the care plan.  Six-monthly multidisciplinary team meetings occur to assess if needs are being met, and family/whānau are invited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an employment agreement that covers a code of conduct.  Professional boundaries are defined in job descriptions.  Staff were observed to be professional when carrying out their duties.  Interviews with care staff described how they build a supportive relationship with each resident.  Residents and the relatives interviewed stated they are treated fairly and with respect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aligned with current accepted best practice.  The content of policy and procedures are sufficiently detailed to allow effective implementation by staff.  An in-service training programme is implemented as per the training plan.  The staff are committed to providing a service based on the mission statement and philosophy of care.  This was observed during the day with the staff demonstrating a caring attitude to the residents.  Facility meetings and shift handovers enhance communication between the teams and provide consistency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a monthly falls map on the staff noticeboard, which identifies time and location of falls, this has increased staff awareness of falls.  Falls in the dementia unit have reduced.  The service has also implemented a new care plan template that links to interRAI and an improved internal audit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incident/accident into the system.  Six incident/accident reports reviewed met this requirement (two from the dementia unit and four from the rest home).  Resident files reviewed, documented family communication.  Relatives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of Palmerston North provides care for up to 38 residents at rest home and secure dementia level of care.  On the day of audit there were 14 rest home residents (plus three boarders) and eight residents in the dementia unit.  There was one rest home resident on respite care at the time of the audit.  All other residents were under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two company directors of Karaka Court Ltd operate two facilities, Woodlands of Palmerston North and Feilding.  The service has a mission, business goals and quality goals that support the service goals of a family friendly service.  There is a 2016 - 2018 business plan, a quality and risk plan for 2016 -2018 and operational quality goals.  Goals are followed up through meetings and formal review.</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experienced manager (non-clinical) who has been in the post for ten years.  She reports to one of the directors monthly and is supported by a clinical leader/RN who works full time Monday to Friday.  The clinical leader has been in her role for three years.  The manager has maintained at least eight hours annually of professional development activities related to managing a rest home (sighted).  An experienced quality systems manager (RN) also supports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covers during the temporary absence of the manager with support from the quality systems manager and the director.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Discussions with the managers reflected staff involvement in quality and risk management processes.  Resident meetings are completed monthly.  Meeting minutes are maintained.  Annual resident and relative surveys are completed with results communicated to residents and staff.  The 2017 resident/family survey reflected that 11/15 surveyed were very satisfied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have been reviewed at least bi-annually and include procedures around the implementation of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There are clear guidelines and templates for reporting.  The facility collects, analyses and evaluates data.  This is utilised for service improvements.  Action plans are developed when service shortfalls are identified and followed up until rectified by the quality systems manager and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manager.  The health and safety committee meet monthly as part of the monthly quality/staff meeting.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sensor mats, increased monitoring, identification and meeting of individual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A review of six incident/accident forms (two dementia level and four rest home level) identified that forms were fully completed and include follow-up by the clinical leader.  Neurological observations are completed for any suspected injury to the head.  The clinical leader and manager are involved in the adverse event process.  The manager was able to identify situations that would be reported to statutory authorities including (but not limited to) infectious diseases, serious accidents and unexpected death.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reviewed (the manager, clinical leader, three caregivers, and one activities person) included a recruitment process, which included reference checking, signed employment contracts and job descriptions, completed orientation programmes and annual performance appraisals.  Health practitioner practising certificates are maintained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 two-yearly education and training plan that exceeds eight hours annually.  There is an attendance register for each training session and an individual staff member record of training.  The clinical leader is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Not all staff who work in the dementia unit have undertaken the dementia standards training and not all staff appraisals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meeting contractual requirements.  The clinical leader (RN) and the manager (non-clinical) are on-site Monday to Friday.  The clinical leader is on-call 24/7 when not on-site.  </w:t>
            </w:r>
          </w:p>
          <w:p w:rsidR="00EB7645" w:rsidRPr="00BE00C7" w:rsidP="00BE00C7">
            <w:pPr>
              <w:pStyle w:val="OutcomeDescription"/>
              <w:spacing w:before="120" w:after="120"/>
              <w:rPr>
                <w:rFonts w:cs="Arial"/>
                <w:b w:val="0"/>
                <w:lang w:eastAsia="en-NZ"/>
              </w:rPr>
            </w:pPr>
            <w:r w:rsidRPr="00BE00C7">
              <w:rPr>
                <w:rFonts w:cs="Arial"/>
                <w:b w:val="0"/>
                <w:lang w:eastAsia="en-NZ"/>
              </w:rPr>
              <w:t>Caregiver rosters are as follow:</w:t>
            </w:r>
          </w:p>
          <w:p w:rsidR="00EB7645" w:rsidRPr="00BE00C7" w:rsidP="00BE00C7">
            <w:pPr>
              <w:pStyle w:val="OutcomeDescription"/>
              <w:spacing w:before="120" w:after="120"/>
              <w:rPr>
                <w:rFonts w:cs="Arial"/>
                <w:b w:val="0"/>
                <w:lang w:eastAsia="en-NZ"/>
              </w:rPr>
            </w:pPr>
            <w:r w:rsidRPr="00BE00C7">
              <w:rPr>
                <w:rFonts w:cs="Arial"/>
                <w:b w:val="0"/>
                <w:lang w:eastAsia="en-NZ"/>
              </w:rPr>
              <w:t>Dementia unit: - 8 residents</w:t>
            </w:r>
          </w:p>
          <w:p w:rsidR="00EB7645" w:rsidRPr="00BE00C7" w:rsidP="00BE00C7">
            <w:pPr>
              <w:pStyle w:val="OutcomeDescription"/>
              <w:spacing w:before="120" w:after="120"/>
              <w:rPr>
                <w:rFonts w:cs="Arial"/>
                <w:b w:val="0"/>
                <w:lang w:eastAsia="en-NZ"/>
              </w:rPr>
            </w:pPr>
            <w:r w:rsidRPr="00BE00C7">
              <w:rPr>
                <w:rFonts w:cs="Arial"/>
                <w:b w:val="0"/>
                <w:lang w:eastAsia="en-NZ"/>
              </w:rPr>
              <w:t>AM:  two caregivers on full shifts, PM one caregiver on a full shift and one caregiver on short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 17 residents.  </w:t>
            </w:r>
          </w:p>
          <w:p w:rsidR="00EB7645" w:rsidRPr="00BE00C7" w:rsidP="00BE00C7">
            <w:pPr>
              <w:pStyle w:val="OutcomeDescription"/>
              <w:spacing w:before="120" w:after="120"/>
              <w:rPr>
                <w:rFonts w:cs="Arial"/>
                <w:b w:val="0"/>
                <w:lang w:eastAsia="en-NZ"/>
              </w:rPr>
            </w:pPr>
            <w:r w:rsidRPr="00BE00C7">
              <w:rPr>
                <w:rFonts w:cs="Arial"/>
                <w:b w:val="0"/>
                <w:lang w:eastAsia="en-NZ"/>
              </w:rPr>
              <w:t>AM two caregivers on full shifts and one caregiver on short shift.  PM caregiver on long shift and one caregiver on short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Caregiving staff are responsible for laundry.  Cleaning staff work five days a week, four hours a day.  Staff reported that staffing levels and the skill mix was appropriate and safe.  Residents and family interviewed, advised that they felt there is sufficient staffing.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clinical leader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clinical leader screens all potential residents prior to entry and records all admission enquires.  Residents and relatives interviewed confirmed they received information prior to admission and had the opportunity to discuss the admission agreement with the manager or clinical leader.  The admission agreement form in use, aligns with the requirements of the ARC contract and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polices to describe guidelines for death, discharge, transfer, documentation and follow up.  Records are kept with the residents’ files.  All relevant information is documented and communicated to the receiving health provider or service.  A transfer form accompanies residents to receiving facilities.  Follow-up occurs to check that the resident is settled, or in the case of death, communication with the family is made and this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robotic medication packs and an electronic charting system.  Medications are checked on arrival by the clinical leader and any pharmacy errors recorded and fed back to the supplying pharmacy.  Medications are stored securely.  Staff sign for the administration of medications on the electronic system.  There were no expired medications in the medication cupboard or in the fridge.  Controlled medication balances are checked weekly.</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leader or senior caregivers administer the medication in both areas.  Annual medication competencies are completed.  The clinical leader advised there were no residents self-medicating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ensuring all medicine related recording and documentation meets acceptable good practice standards.  The medication fridge is monitored daily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Allergies were evident in all 11 medication charts reviewed and medication orders record indication for use for ‘as required’ medication (PRN).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workable kitchen with three cooks rostered over the week, so one is on each day.  All have completed food safety training.  All residents have a nutritional and hydration care requirement developed on admission, which is reviewed at the six-monthly review.  Any special dietary requirements and food preferences are communicated to the kitchen and individual meals are supplied.  There is a summer and winter menu.  The menu rotates four weekly and is designed and reviewed by a registered dietitian (January 2018).  Diets are modified as required.  Kitchen fridge, food and freezer temperatures are monitored and documented.  Food temperature is checked and documented prior to serving.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there are additional nutritious snacks available in the unit over 24 hours for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The kitchen, kitchen equipment and kitchen staff can meet the needs of the residents.  There is an approved Food Control Plan which expires July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is available on an as needed requirement.  Residents requiring extra assistance to eat, and drink are assisted by caregivers and were observed during lunch.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decision to residents/family/EPOA.  Anyone declined entry is referred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multidisciplinary assessments were completed in files sampled.  All files reviewed had appropriate assessments on admission.  Needs, outcomes and goals of residents were identified through the assessment process in the files sampled.  Residents and family are consulted, and agree to intervention outcomes.  The clinical leader has completed interRAI training.  There was evidence of interRAI assessments being undertaken six monthly.  A request had been forwarded for the interRAI assessment for the resident who went from respite to long-term care on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document interventions for all assessed needs and support.  Files reviewed demonstrated that care plans were individualised.  Care plans demonstrate service integration and demonstrate input from allied health.  The respite resident file documented care and support for the short-stay and was being transferred to a long-term resident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in use for changes in health status.  STCPs were viewed for skin tears, nose bleed, weight loss, infections and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reviewed and interviews with staff, residents and relatives identified that the care that is being provided is consistent with the needs of residents.  Monitoring charts and behaviour monitoring charts were sighted in files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are assessed prior to admission.  The service has residents under nine GPs at present.  One GP who covers ten residents (or their nurse practitioner) visit weekly or as required.  There is an afterhours service available from a local practice.  During the tour of the facility it was noted that all staff treated residents with respect and dignity.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room/cupboard is stocked for use.  Continence products are available and resident files include a urinary continence assessment, bowel management, and continence products identified for day use, night use, and other management.</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 wounds.  There were no pressure injuries.  The clinical leader interviewed, described the assessment, plan and evaluation should there be a wound and the referral process should they require assistance from a wound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qualified diversional therapist (DT) that provides activities in the rest home and the dementia unit.  Two separate monthly activity programmes are developed, one for the rest home and one for the dementia unit.  The DT works forty hours per week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being actively involved with a variety of activities in the rest home and in the dementia unit.  All residents are given a weekly plan, and plans are evident in a prominent place for viewing in each unit.  Residents have an activities/social profile assessment completed over the first few weeks after admission, obtaining a complete history of past and present interests, career and family.  Activities are age appropriate and are planned.  There are several programmes running that are meaningful and reflect ordinary patterns of life.  The facility van goes out three times a week taking residents for drives and events in the community.  These include outings to Friendship Club and Senior Citizens.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regular feedback around their likes and dislikes of the activity programme to the activity staff through residents’ meetings or following activities.  Resident files reviewed identified that the individual activity plan is reviewed when the care plan is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the clinical leader six monthly or when changes to care occurred.  Evaluations were documented and included progress to meeting goals.  There was documented evidence of care plans being updated as required.  There is at least a three-monthly review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short-term care plans to focus on acute and short-term issues and these are reviewed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the clinical leader identified that the service has access to external and specialist providers.  Referral documentation was maintained on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waste management policy and procedure outlines processes.  Staff were observed wearing appropriate protective clothing.  All chemicals sighted were appropriately stored in locked areas and fully labelled.  There is an incident reporting system that is in use.  A comprehensive emergency plan is available to staff which includes hazardous substances.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current building warrant of fitness sighted, which expires on 4 April 2019.  The facility is maintained in good order with regular maintenance and refurbishment.  There is a comprehensive check system of the building and equipment to be carried out by the maintenance person.  Electrical appliances that are not permanently wired are checked annually by a contracted service. </w:t>
            </w:r>
          </w:p>
          <w:p w:rsidR="00EB7645" w:rsidRPr="00BE00C7" w:rsidP="00BE00C7">
            <w:pPr>
              <w:pStyle w:val="OutcomeDescription"/>
              <w:spacing w:before="120" w:after="120"/>
              <w:rPr>
                <w:rFonts w:cs="Arial"/>
                <w:b w:val="0"/>
                <w:lang w:eastAsia="en-NZ"/>
              </w:rPr>
            </w:pPr>
            <w:r w:rsidRPr="00BE00C7">
              <w:rPr>
                <w:rFonts w:cs="Arial"/>
                <w:b w:val="0"/>
                <w:lang w:eastAsia="en-NZ"/>
              </w:rPr>
              <w:t>The lounge areas are designed so that space and seating arrangements provide for individual and group activities.  There are quiet, low stimulus areas that provide privacy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secure dementia has a separate lounge and dining area, which were both well-supervised on the day of audit.  There is a secure outside/garden area.</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well maintained and residents in both wings have access to gardens and indoor areas with ease.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both units share communal bathrooms and toilets within their unit.  There were sufficient numbers of resident communal bathrooms and toilets near resident rooms and communal areas.  Visitor toilet facilities are available.  Residents interviewed stated their privacy and dignity were maintained while attending to their personal cares and hygiene.  The communal toilets and showers were well signed and identifiable.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The resident rooms are of sufficient size to meet the assessed resident needs.  Residents were able to manoeuvre mobility aids around the bed and personal space.  Caregivers interviewed, reported that rooms have adequate space to allow cares to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are easily and safely accessible for residents.  There are lounge areas and separate dining rooms, and small seating areas by the reception.  The dementia unit has a lounge area and separate dining area.  The main dining room was spacious and located directly off the kitchen/server area.  The furnishings and seating are appropriate for the resident group.  Residents interviewed reported they were able to move around the facility, and staff assisted them when required.  Activities take place in any of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by rostered cleaning staff.  They have access to a range of chemicals, cleaning equipment and protective clothing.  The standard of cleanliness is monitored through the internal audit programme.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Bed linen is sent to a commercial laundry for processing and the balance of laundry is done on-site in the commercial laundry by caregivers.  Residents and relatives interviewed were satisfied with the laundry service.  The laundry and cleaning services are able to cater to the needs of rest home and dementia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disaster policies and procedures are in place.  Fire evacuation drills take place every six months.  The orientation programme and education and training programme includes fire and security training.  Staff who are unable to attend complete competency questionnaires.  Staff interviews confirmed their understanding of emergency procedures.  Required fire equipment was sighted on the day of audit and all equipment has been checked within required timeframes.  An approved fire evacuation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and the availability of a gas BBQ.  A back-up battery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suitable to meet the needs of the residents.  The call bell system was hard to hear in parts of the dementia unit when music or television was on.  This was remedied on the day of audit by installing a light that could be viewed by staff that came on when a call bell was pressed.  Residents reported their call bells are answered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person rostered on each shift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External lighting is adequate for safety and security.  Doors are locked at dusk.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rooms have an opening window to the outside.  Electric heaters thermostatically controlled in each bedroom ensure warmth; all areas were warm and well ventilated.  There is underfloor heating in the dementia unit plus radiators.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Woodlands has an established infection control programme.  The infection control programme, its content and detail, is appropriate for the size, complexity and degree of risk associated with the service.  The registered nurse is the designated infection control nurse with support from the quality systems manager.  The quality/staff meeting team is the infection control team.  Minutes are available for staff.  Audits have been conducted and include hand hygiene and infection control practices.  Education is provided for all new staff on orientation.  The infection control programme was last reviewed in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is the designated infection control (IC) nurse.  There are adequate resources to implement the infection control programme for the size and complexity of the organisation.  The IC nurse and IC team (comprising all staff) have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quality systems manager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has occurred for staff.  The infection control nurse has completed infection control training.  Visitors would be advised of any outbreaks of infection and advised not to attend until the outbreak has been resolved.  There have been no outbreaks.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Woodlands’ infection control manual.  Systems in place are appropriate to the size and complexity of the facility.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Outcomes and actions are discussed at quality meetings and staff meetings.  If there is an emergent issue, it is acted upon in a timely manner.  Reports are easily accessible to the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other de-escalation strategies have been ineffective.  Restraint minimisation policies and procedures include definitions, processes and use of restraints and enablers.  At the time of the audit there were no residents with a restraint and no residents using an enabler.  Staff training is in place around restraint minimisation and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8"/>
        <w:gridCol w:w="1280"/>
        <w:gridCol w:w="4952"/>
        <w:gridCol w:w="2974"/>
        <w:gridCol w:w="25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two-yearly education plan and training sessions are well attended by staff.  Caregivers interviewed stated they receive a wide range of education subjects.  Not all staff who work in the dementia unit have completed the dementia standards within the set timeframes, and appraisals are not documented annually for all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(i)Of the 12 staff who work in the dementia unit, five had not completed the dementia unit standards within the set timeframes.  (ii) Of the six staff files reviewed, four did not have an annual appraisal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staff who work in the dementia unit complete the dementia standards within set timeframes.  (ii) Ensure that all staff have a documented staff appraisal at least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Karaka Court Limited - Woodlands of Palmerston North</w:t>
    </w:r>
    <w:bookmarkEnd w:id="58"/>
    <w:r>
      <w:rPr>
        <w:rFonts w:cs="Arial"/>
        <w:sz w:val="16"/>
        <w:szCs w:val="20"/>
      </w:rPr>
      <w:tab/>
      <w:t xml:space="preserve">Date of Audit: </w:t>
    </w:r>
    <w:bookmarkStart w:id="59" w:name="AuditStartDate1"/>
    <w:r>
      <w:rPr>
        <w:rFonts w:cs="Arial"/>
        <w:sz w:val="16"/>
        <w:szCs w:val="20"/>
      </w:rPr>
      <w:t>16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