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Halldene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Halldene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July 2018</w:t>
      </w:r>
      <w:bookmarkEnd w:id="7"/>
      <w:r w:rsidRPr="009418D4">
        <w:rPr>
          <w:rFonts w:cs="Arial"/>
        </w:rPr>
        <w:tab/>
        <w:t xml:space="preserve">End date: </w:t>
      </w:r>
      <w:bookmarkStart w:id="8" w:name="AuditEndDate"/>
      <w:r w:rsidR="00A4268A">
        <w:rPr>
          <w:rFonts w:cs="Arial"/>
        </w:rPr>
        <w:t>18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Halldene is owned and operated by the CHT Healthcare Trust.  The service currently provides care for up to 37 residents requiring hospital (geriatric and medical) and rest home level care.  On the day of the audit, there were 25 residents.  </w:t>
        <w:b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general practitioner.  </w:t>
      </w:r>
    </w:p>
    <w:p w:rsidRPr="00A4268A">
      <w:pPr>
        <w:spacing w:before="240" w:line="276" w:lineRule="auto"/>
        <w:rPr>
          <w:rFonts w:eastAsia="Calibri"/>
        </w:rPr>
      </w:pPr>
      <w:r w:rsidRPr="00A4268A">
        <w:rPr>
          <w:rFonts w:eastAsia="Calibri"/>
        </w:rPr>
        <w:t>A unit manager, who is well qualified and experienced for the role oversees the service and is supported by a clinical coordinator and the area manager.  Residents, relatives and the GP interviewed spoke positively about the service provided.</w:t>
      </w:r>
    </w:p>
    <w:p w:rsidRPr="00A4268A">
      <w:pPr>
        <w:spacing w:before="240" w:line="276" w:lineRule="auto"/>
        <w:rPr>
          <w:rFonts w:eastAsia="Calibri"/>
        </w:rPr>
      </w:pPr>
      <w:r w:rsidRPr="00A4268A">
        <w:rPr>
          <w:rFonts w:eastAsia="Calibri"/>
        </w:rPr>
        <w:t>This audit has identified areas requiring improvement around care planning and the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CHT Halldene strive to ensure that care is provided in a way that focuses on the individual, values residents' autonomy and maintains their privacy and choice.  The service functions in a way that complies with the Health and Disability Commissioner’s Code of Consumers’ Rights.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are conducted, and this generates improvements in practice and service delivery.  Meetings are held to discuss quality and risk management processes.  Residents/family meetings have been held regularly.  Health and safety policies, systems and processes are implemented to manage risk.  Incidents and accidents are reported and followed through.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coordinator manages entry to the service with assistance from the registered nurses.  Comprehensive service information is available.  A registered nurse completes initial assessments, including interRAI assessments.  The registered nurses complete care plans within the required timeframe.  Care plans are clearly written, and health care assistants report they are easy to follow.  Residents and relatives interviewed confirmed they were involved in the care planning and review process.  The general practitioner reviews the residents at least three monthly or more frequently if needed.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Medicines are stored appropriately in line with legislation and guidelines.  Staff responsible for the administration of medication, complete annual competencies and medication education.  General practitioners review resident’s medications at least three monthly.</w:t>
      </w:r>
    </w:p>
    <w:p w:rsidRPr="00A4268A" w:rsidP="00621629">
      <w:pPr>
        <w:spacing w:before="240" w:line="276" w:lineRule="auto"/>
        <w:rPr>
          <w:rFonts w:eastAsia="Calibri"/>
        </w:rPr>
      </w:pPr>
      <w:r w:rsidRPr="00A4268A">
        <w:rPr>
          <w:rFonts w:eastAsia="Calibri"/>
        </w:rPr>
        <w:t xml:space="preserve">Meals are prepared on-site by a contracted agency under the direction of a dietitian.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Reactive and planned maintenance is in place.  Chemicals are stored safely throughout the facility.  All bedrooms are single occupancy and have either their own ensuites or a shared ensuite toilet.  There are sufficient communal showers.  There is sufficient space to allow the safe movement of residents around the facility using mobility aids.  There are communal dining rooms and lounges and several smaller seating areas.  The internal areas are able to be ventilated and heated.  The outdoor areas are safe and easily accessible.  Cleaning contractors and laundry staff are providing appropriate services.  Emergency systems and equipment are in place in the event of a fire or external disaster.  There is a first aider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CHT Halldene has restraint minimisation and safe practice policies and procedures in place.  Staff receive training in restraint minimisation and challenging behaviour management.  On the day of audit, there were three residents with four restraints and one resident with an enabler.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8"/>
        <w:gridCol w:w="1280"/>
        <w:gridCol w:w="95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ten staff (three health care assistants, one registered nurse (RN), one activities coordinator, one cook, one kitchenhand, one cleaner, one clinical coordinator and one-unit manager) confirmed their familiarity with the Code.  Interviews with six residents (three rest home and three hospital) and two families (both hospital) confirmed the services being provided are in line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including outings and indemnity forms, were included in the admission process as sighted in resident’s files reviewed.  Consent forms are signed for any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confirmed consent is obtained when delivering cares.  Advance directives sampled, identified the resident resuscitation status and/or signed by the resident (if appropriate) and the general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identified that the service actively involves them in decisions that affect their relative’s lives.  Admission agreements were sighted for the long-term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 networks.  On interview, staff stated that residents are encouraged to build and maintain relationships.  All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throughout the facility.  Information about complaints is provided on admission.  Interview with residents demonstrated an understanding of the complaints process.  All staff interviewed were able to describe the process around reporting complaints.  There is a complaints’ register.  There were nine complaints made in 2017 and three year-to-date.  All complaints reviewed had noted investigation, timeframes, corrective actions when required and resolutions were in place if required.  Results are fed back to complainants.  Discussions with residents confirmed that any issues are addressed, and they feel comfortable to raise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of rights on display throughout the facility and leaflets are available in the foyer.  The service is able to provide information in different languages and/or in large print if requested.  Information is also given to next of kin or enduring power of attorney (EPOA) to read with the resident and discuss.  On entry to the service, the unit manager discusses the information pack with the resident and the family/whānau.  The information pack includes a copy of the Code of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observed respecting resident’s privacy and could describe how they manage to maintain privacy and respect of personal property.  All residents interviewed stated their needs were met.  A policy describes spiritual care.  Church services are held on a regular basis.  All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There were no Māori residents on the day of audit.  Cultural and spiritual practice is supported, and identified needs are incorporated into the care planning process.  Staff have received training on the Treaty of Waitangi.  Discussions with staff confirm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interviewed reported that they were satisfied that their cultural and individual values were being met.  Information gathered during assessment including residents’ cultural beliefs and values, is used to develop a care plan.  Staff receive training on cultural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staff code of conduct, which states there will be zero tolerance against any discrimination occurring.  The registered nurses supervise staff to ensure professional practice is maintained in the service.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orientation and ongoing in-service training.  Residents interviewed spoke positively about the care and support provided.  Staff interviewed had a sound understanding of principles of aged care and stated that they feel supported by the management team.  Staffing policies include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The quality programme has been designed to monitor contractual and standards compliance and the quality of service delivery in the facility.  The unit manager is responsible for coordinating the internal audit programme.  Qlik Sense, a new tool, is used to extract data from VCare and analyse incidents, infections, falls, unintended weight loss, pressure injuries, skin tears and complaints.  This extract is used to assist in implementing strategies to reduce further events.  Evidence-based practice is evident, promoting and encouraging good practice.  The service has links with the local community and encourages residents to remain independent.  Residents and relatives interviewed spoke positively about the care and support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Last Days of Living care plans are utilised improving standard of palliative care delivered.  This was combined with a case study on palliative care, completed by the Clinical Co-ordinator in early 2017.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in currently building of a new facility to provide future residents with a more aesthetically pleasing environment and individual ensuited rooms for those who previously did not have one.  Building (stage 1) due for completion August 10,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around open disclosure alerts staff to their responsibility to notify family/next of kin of any accidents/incidents that occur.  Ten incidents/accidents forms were reviewed for June and July 2018.  The forms included a section to record family notification.  All forms indicated family were informed or if family did not wish to be informed.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Halldene is owned and operated by the CHT Healthcare Trust.  CHT purchased the service in October 2014.  The service provides rest home and hospital level care for up to 37 residents.  On the day of the audit, there were 25 residents in total, 7 rest home level and 18 hospital level.  This includes one hospital resident on a long-term chronic health contract.  All rooms are dual-purpose.  Bed numbers are currently down in preparation for a move to a new adjacent purpose-build building which is near completion.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and maintains an annual practicing certificate.  She has been in the manager role at the facility for over four years and continued as unit manager when CHT purchased the service.  A clinical coordinator who has been in the position for ten months supports her.  The unit manager reports to the area manager weekly on a variety of operational issues.  CHT has an overall business/strategic plan and CHT Halldene has a facility quality and risk management programme in place for the current year.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unit manager, the clinical coordinator is in charge, with support from the area manager, registered nurses and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Interviews with staff confirmed that quality data is discussed at monthly staff meetings to which all staff are invited.  The unit manager advised that she is responsible for providing oversight of the quality programme.  The quality and risk management programme is designed to monitor contractual and standards compliance.  The service's policies are reviewed at national level, with input from facility staff every two years.  New/updated policies are sent from head office.  Staff have access to manuals.  Resident/relative meetings are held monthly.  Restraint and enabler use is reported within the clinical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 comprehensive six monthly internal audit was last completed in March 2018.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identified a number of annual quality goals.  The following goals have identified improvement including (but not limited to); (i) reducing pressure injuries.  These have declined with better staff education and supervision.  Work on this is ongoing.  (ii) Reduce the number of falls – this has been achieved overall.  (iii) Reduce the number of restraints – this has been achieved.  And (iv) Reduce the numbers of people with unintended weight loss – overall this is improving.</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There are implemented risk management, and health and safety policies and procedures in place including accident and hazard management.  An annual residents/relatives’ satisfaction survey for 2017 and 2018 shows consistently high results in most areas (90% or higher).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unit manager investigates accidents and near misses and analysis of incident trends occurs.  There is a discussion of incidents/accidents at monthly clinical and staff meetings including actions to minimise recurrence.  Ten resident incident forms sampled demonstrated that appropriate clinical follow-up and investigation occurred following incidents.  Discussions with the unit manager confirmed that there is an awareness of the requirement to notify relevant authorities in relation to essential notifications.  There was appropriate notification made around a gastric outbreak in October 2017 and an unstageable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A copy of practising certificates is kept.  Five staff files were reviewed (one clinical coordinator, one registered nurse, one activities coordinator and two health care assistants) and evidence that reference checks were completed before employment was offered.  Annual staff appraisals were evident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in-service education programme for 2017 has been completed and a plan for 2018 is being implemented.  The unit manager and registered nurses are able to attend external training, including sessions provided by the local DHB.  All six of the six registered nurses (including the UM and CC)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upgraded their Moving and Handling Programme.  This has resulted in a more thorough orientation around moving and handling and this is delivered by Halldene’s moving and Handling team which consists of the clinical co-ordinator and two healthcare assistants supported by the physiotherapist.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increase the number of staff who are CareerForce trained.  Their clinical co-ordinator has been trained as an assessor.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is in place for determining staffing levels and skills mix for safe service delivery.  Rosters implement the staffing rationale.  There is a minimum of one RN on-site at any time.  Activities are provided seven days a week.  Staff working on the days of the audit, were visible and attending to call bells in a timely manner as confirmed by all residents interviewed.  Staff interviewed stated that overall the staffing levels are satisfactory and that the managers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r w:rsidRPr="00BE00C7">
              <w:rPr>
                <w:rFonts w:cs="Arial"/>
                <w:b w:val="0"/>
                <w:lang w:eastAsia="en-NZ"/>
              </w:rPr>
              <w:t>CHT Halldene rosters three areas separately - upstairs, right wing and lower wing.  The RN and staff in the right and lower wings are also available to assist in opposite areas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upstairs wing has 13 current residents (seven hospital and six rest home).  The morning shift is covered by the clinical coordinator, and two healthcare assistants (one long shift and one short shift).  On the afternoon shift, one RN and one HCA work the full shift.  At night an RN and an HCA work the full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wing has six current residents (all hospital).  The morning shift is covered by the clinical coordinator, and one healthcare assistant from 7.00 am to 12:30 pm.  Staff from the lower wing provide cover when the HCA finishes their shift.  On the afternoon shift, one HCA works the full shift with support from the RN based upstairs.  At night an HCA works the full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lower wing has six current residents (five hospital and one rest home).  The morning shift is covered by support from the clinical coordinator, and one health care assistant from 7.00 am to 3.00 pm.  On the afternoon shift, one HCA works the full shift with support from the RN based upstairs.  At night an HCA works the full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sensitive resident information.  Entries in records are legible, dated and signed by the relevant health care assistant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provided, the admission process and entry to the service.  Residents interviewed confirmed they received information prior to admission and had the opportunity to discuss the admission agreement with the manager and clinical coordinator.  The admission agreement aligns with the requirements of the DHB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The facility uses the DHB hospital transfer form and yellow aged care envelope system.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residents have individual medication orders with photo identification and allergy status documented on the electronic system.  All medicines are stored securely when not in use.  A verification check is completed by the RN against the resident’s medicine order when new medicines are supplied from the pharmacy.  Medication orders include indications for use of ‘as needed’ medicines.  Short-life medications (ie, eye drops and ointments) are dated once opened.  Education on medication management has occurred with competencies conducted for the registered nurse and senior health care assistants with medication administration responsibilities.  Ten medication charts reviewed identified that the GP had seen the resident three-monthly and the medication chart was signed each time a medicine was administered by staff.  A registered nurse was observed administering medications and followed correct procedures.  There were no residents self-administer medicines.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cooked on-site by contracted kitchen staff.  There is a food services manual in place to guide staff.  A resident nutritional profile is developed for each resident on admission and is provided to the kitchen staff.  The kitchen can meet the needs of residents who require special diets.  Kitchen staff have completed food safety and chemical safety training.  The kitchen manager and cooks follow a menu, which has been reviewed by the contracted company’s dietitian.  The cook (interviewed) was able to describe alternative meals offered for residents with dislikes and food is fortified for residents with weight loss.  The temperatures of refrigerators, freezers and cooked foods are monitored and recorded.  There is special equipment available for residents if required.  All food is stored appropriately.  Residents and the family members interviewed were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decision to potential residents/family/whānau.  Anyone declined entry is referred back to the referring agency for appropriate placement and advice.  Information on alternate placement options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demonstrated that all appropriate personal needs information is gathered during admission in consultation with the resident and their relative where appropriate.  Appropriate assessment tools were completed, and the outcomes of assessments were reflected in the long-term care plans in resident files reviewed.  The InterRAI assessment tool has been completed for all residents.  The InterRAI assessments are completed six monthly or earlier if there are changes to the resident’s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care planning system is comprehensive and includes all aspects of care.  Five care plans were reviewed.  The long-term care plans reviewed did not always describe the support required to meet the resident’s assessed needs.  Residents and relatives confirmed they are involved in the care planning and review process.  Short-term care plans are in use for changes in health status.  Care staff interviewed reported the care plans are readily available and they found the plans easy to follow.  HCAs reported that handovers were comprehensive and that they are aware of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care plan (link 1.3.5.2).  RNs report progress against the care plan each shift at handover.  If external nursing or allied health advice is required, the RNs will initiate a referral as evidenced in resident files.  If external medical/specialist advice is required, this will be initiated by the GP.  Healthcare assistants report that they are informed of any changes to residents required needs at handover.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dressing supplies.  Sufficient continence products are available and resident files include a continence assessment and plan in the care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wound management plans and short-term care plans are in place for nine wounds including two stage two pressure injuries and one grade one pressure injury.  The RNs have access to specialist nursing wound care management advice through the district health board (DHB).  Appropriate pressure injury interventions were documented in the care plans of residents identified as high risk of pressure injury and with a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Blood sugar monitoring, regular weight monitoring, turning charts and intake and fluid balance charts were in use were documented.  Pain monitoring was documented as needed and one resident with oxygen therapy was being monitored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two activity coordinators are employed to deliver the activities programme seven days a week.  The activities provided meet the recreational preferences and abilities of the resident groups and include arts and crafts, exercises, walks and board games.  Activities reflect ordinary patterns of life and include planned visits to the community.  Activities are held in the lounges.  One-on-one time is spent with residents who choose not to or are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an individual activities assessment on admission, which is incorporated into the interRAI assessment process.  An individual activities plan is developed for each resident in consultation with the resident/family.  All long-term resident files sampled have a recent activity plan within the care plan and this is reviewed at least six monthly when the care plan is evaluated or a further interRAI assessment occurs.  Residents interviewed commented positively on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Wifi has been introduced to facilitate communication between residents and contractors with outside parties.  Theme Days – CHT has introduced various theme days to support the activities programme.  Special menus are organised, and posters, tablecloths and decorations provided to build the theme around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 is evaluated at least six monthly or earlier if there is a change in health status, using the electronic care planning system.  Care plan evaluations are documented and include reporting progress on meeting goals.  All changes in health status are documented and followed up.  Six monthly reassessments have been completed by RNs using interRAI for all residents and for those who have had a significant change in health status.  Short-term care plans are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such as dietitian, and mental health for older persons.  Referral documentation is maintained on resident files.  The RNs initiate referrals to nurse specialists and allied health services.  Other specialist referrals are made by the GPs.  Referrals and options for care were discussed with the family, as evidenced in medical notes.  Staff provided an example of where a resident’s placement at the service was of concern and the resident was in the process of being reassessed (link to 1.1.13).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displayed.  There is a maintenance person who works one day a week and as needed.  There is a reactive maintenance communication book and a planned maintenance plan in place for the internal and external building.  All electrical equipment is tested and tagged two yearly.  Clinical equipment is checked and calibrated annually.  Hot water temperatures are monitored and managed within 43-45 degrees Celsius.  The service is on two levels with a lift and stairs between floors.  The service has shortcomings identified around the general environment, the kitchen environment, the carpets and bathrooms.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External areas are well maintained.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sufficient equipment to meet the needs of current residents and sufficient equipment including suction and oxygen equipment, to meet the needs of medical level hospital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communal toilets and shower/bathing areas for residents.  All communal toilets and shower rooms have vacant/engaged slide signs (link to 1.4.2.1).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cares to be provided for the assessed level of care and for the safe use and manoeuvring of mobility aids.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include a large open plan lounge and smaller seating areas.  Activities take place in a number of areas throughout the facility.  There is a rest home and hospital resident dining room.  Communal rooms are easily accessible.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cleaning are done on-site by a contracted service.  A laundry/cleaning supervisor oversees the service.  The laundry has entry and exit doors and there are defined clean/dirty areas.  Cleaning trolleys are well equipped and are stored safely when not in use.  Staff have access to a range of chemicals, cleaning equipment and protective clothing.  The standard of cleanliness and laundry process is monitored through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has been approved by the fire service.  There are emergency management plans in place to ensure health, civil defence and other emergencies are included.  Six monthly fire evacuation practice documentation was sighted.  Fire training and security situations are part of orientation of new staff and include competency assessments.  There are adequate supplies in the event of a civil defence emergency including food, water and gas cooking.  Short-term back-up power for emergency lighting and the call bell system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always.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near.  The building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Halldene has an infection control programme.  The infection control programme, its content and detail, is appropriate for the size, complexity and degree of risk associated with the service.  It is linked into the incident reporting system.  A registered nurse (also the CC) is the designated infection control coordinator with support from the unit manager and all staff as the quality management committee (infection control team).  Minutes are available for staff.  Regular six monthly internal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CHT Halldene is the designated infection control (IC) coordinator.  There are adequate resources to implement the infection control programme, for the size and complexity of the organisation.  The IC nurse and IC team (comprising all staff) has good external support from the local laboratory infection control team, bug control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CHT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described in CHTs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the facility meetings.  If there is an emergent issue, it is acted upon in a timely manner.  Reports are easily accessible to the unit manager.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three residents with restraint and one resident with an enabler.  One resident uses both bedrails and a lapbelt.  All other restraints and the enabler are bed rails.  One enabler file sampled documented that enabler use is voluntary.  All necessary documentation has been completed in relation to the restraints.  Policies and procedures include definition of restraint and enabler that are congruent with the definition in NZS 8134.0.  Staff training/education on restraint/enablers has recently been provided in May 2016.  Restraint is discussed as part of staff meetings.  A registered nurse is the designated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Assessment and approval process for restraint use included the restraint coordinator, registered nurses, resident/or representative and medical practitioner.  Interviews with the HCAs and nursing staff confirmed their understanding of restraints and enablers.  Staff training around restraint minimisation and management of challenging behaviours last occurred in April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were undertaken by suitably qualified and skilled staff, in partnership with the family/whānau.  The restraint coordinator, the resident and/or their representative and a medical practitioner were involved in the assessment and consent process.  In the files reviewed (three restraint and one enabler),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are obtained/met.  An assessment form is completed for all restraints and enablers.  The files reviewed had a completed assessment form and a care plan that reflected risk.  Monitoring forms that included regular monitoring at the frequency determined by the risk level were present in the files reviewed.  The service has a restraint and enablers register, which is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files reviewed, evaluations had been completed with the resident, family/whānau and restraint coordinator.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The restraint coordinator and unit manager complete the restraint review.  Any adverse outcomes are reported at the monthly staff meetings.  Restraints have been reviewed successfully with a consequent drop in the number of these by up to 50% (most recent months).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7"/>
        <w:gridCol w:w="1280"/>
        <w:gridCol w:w="4361"/>
        <w:gridCol w:w="4417"/>
        <w:gridCol w:w="13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had been completed by registered nurses using the assessment process integrated within the electronic care planning system.  Caps identified from interRAI assessments were reflected into care plans.  The interventions to manage identified issues were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resident care plans (one rest home and two hospital) did not reflect the management strategies to support and manage residents with behaviours that challenge/anxiety.  (ii)  One hospital care plan did not document interventions to support the risks associated with warfarin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interventions are documented to support all identified risks and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in the process of building a new facility and plans to move within the next two months.  All areas in the existing facility are clean and safe, but not all are in a good state of repair.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shortcomings identified around the general environment, the kitchen environment, the carpets and bathrooms.  All areas are safe and clean, however not all are in a good state of repair.  The service is building a new facility next door and expects to move in the next two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environment continues to remain safe until the move to the new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Halldene Rest Home</w:t>
    </w:r>
    <w:bookmarkEnd w:id="58"/>
    <w:r>
      <w:rPr>
        <w:rFonts w:cs="Arial"/>
        <w:sz w:val="16"/>
        <w:szCs w:val="20"/>
      </w:rPr>
      <w:tab/>
      <w:t xml:space="preserve">Date of Audit: </w:t>
    </w:r>
    <w:bookmarkStart w:id="59" w:name="AuditStartDate1"/>
    <w:r>
      <w:rPr>
        <w:rFonts w:cs="Arial"/>
        <w:sz w:val="16"/>
        <w:szCs w:val="20"/>
      </w:rPr>
      <w:t>17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