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Willows Home and Hospital Limited - The Willows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Willows Home and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Willows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September 2018</w:t>
      </w:r>
      <w:bookmarkEnd w:id="7"/>
      <w:r w:rsidRPr="009418D4">
        <w:rPr>
          <w:rFonts w:cs="Arial"/>
        </w:rPr>
        <w:tab/>
        <w:t xml:space="preserve">End date: </w:t>
      </w:r>
      <w:bookmarkStart w:id="8" w:name="AuditEndDate"/>
      <w:r w:rsidR="00A4268A">
        <w:rPr>
          <w:rFonts w:cs="Arial"/>
        </w:rPr>
        <w:t>11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Willows Home and Hospital provides rest home and hospital level care for up to 28 residents. The service is operated privately, and the owner/director is the manager. She is supported by an administrator/maintenance manager and a clinical nurse manager who is a registered nurse.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identified eight areas requiring improvements relating to corrective action documentation, adverse event documentation, human resources management, short term care planning, activities, medicine management, nutrition and kitchen cleaning. Improvements have been made to complaints management, staff medication competencies, electrical safety checks, the kitchen environment and the annual review of the infection control programme. The two areas not addressed from the previous audit relate to medication management and corrective action planning.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promotes open communication between staff, residents and families which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The owner/director works full time at the facility and monitors the services provided. She has owned and operated the business for the past 19 years. She is supported by a clinical nurse manager who holds a current nursing annual practising certificate who has also worked at the facility for 19 years and has held her current role for 15 years.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and identifies trends. Staff are kept informed of findings. Staff are involved in making improvements,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undertaken by the management team. A systematic approach to identify and deliver ongoing training supports service delivery.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is coordinated in a manner that promotes continuity in service delivery and promotes a team approach to care delivery.  All residents have interRAI assessments completed and individualised care plans related to this programme.  All care plans are evaluated at least six-monthly.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  Families reported that they are encouraged to participate in the activities of the facility and those of their relatives.</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four-week rotating menu. Residents’ nutritional requirements are met.   </w:t>
      </w:r>
    </w:p>
    <w:p w:rsidRPr="00A4268A" w:rsidP="00621629">
      <w:pPr>
        <w:spacing w:before="240" w:line="276" w:lineRule="auto"/>
        <w:rPr>
          <w:rFonts w:eastAsia="Calibri"/>
        </w:rPr>
      </w:pPr>
      <w:r w:rsidRPr="00A4268A">
        <w:rPr>
          <w:rFonts w:eastAsia="Calibri"/>
        </w:rPr>
        <w:t xml:space="preserve">Medication policy identifies current best practice for medication management.  Staff who administer medication have completed a medication competency in the last 12 months.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Equipment and electrical safety checks have been undertaken and the kitchen bench can be cleaned to meet infection control standards.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was in use at the time of audit. No restraints were in use. Procedures include an appropriate assessment, approval and monitoring process should restraint be required. An annual restraint quality review is documented by the restraint committee which includes the GP.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6</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1</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7</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1</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  The owner/director and the clinical nurse manager are responsible for complaints management and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is up to date and showed that eight complaints have been received over the past year and that actions taken, through to an agreed resolution, are documented and completed within the timeframes.  One example relates to meals being cold when served. The follow up included staff education about how to prevent this. The resident who made the complaint was asked after a three week period if they were happy with their meal temperatures and it was confirmed that they were. Documentation of all complaints and follow-up was an area identified for improvement in the previous audit and has been fully addressed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outside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The informed consent document is provided in nine different languages.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At the time of audit four residents did not understand English and are supported by staff who speak the same language, family and the use of the interpreting service as required.  There was one resident that was identified with a significant sensory impairment and resources and equipment were observed to be in place, for example, support from the Blind Foundation, talking books/watch and support from staff regrading mobility and daily activities of living.  The resident and family newsletter sighted, which is developed three times a year, provides information and reminders, for example, how to raise a concerns/complaints, preventing of infection and good hand hygiene, the invitation of family to be a part of resident’s care planning and further information in regard to the importance of residents privacy and their right to decide.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 term objectives and the associated operational plans. As the owner/director works full time at the facility she is aware of all performance results including financial performance, quality data results, complaints,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are managed by a registered nurse who holds relevant qualifications and has been in the role for 15 years. Responsibilities and accountabilities are defined in a job description and individual employment agreement.  The owner/director and clinical nurse manager confirmed their knowledge of the sector, regulatory and reporting requirements and maintains currency through ongoing in-service education, attendance at an age care regulatory group and on-line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Auckland District Health Board (ADHB) and the Ministry of Health (MoH) for respite care, carer support, rest home and hospital long term support and ACC. On the day of audit 26 residents were receiving care under the following contracts: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two ACC residents under the Residential Support Service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two residents under the Long-Term Support -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two under the Long-Term Support – rest home level care 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- 19 under Age Related Residential Care - being 13 hospital and six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One resident who originally entered the facility under an ADHB Primary Options for Acute Care (POAC) contract which had expired was waiting to be reassessed as rest home level care. The geriatrician undertook the reassessment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identified in policy and procedures. This includes management of incidents and complaints, audit activities, a regular patient satisfaction survey, monitoring of outcomes, and clinical incidents including infections, wounds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staff meetings. Staff reported their involvement in quality and risk management activities through audit activities and implementation of corrective actions. Corrective actions are not always documented but staff stated during interview that any corrective actions required are verbally discussed at daily handover and implementation is monitored by the management team. Resident and family satisfaction surveys are completed annually. The most recent survey (March 2018) for which only three completed surveys were returned, showed that a negative comment related to activity outings was not followed 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provided by an off-site company and personalised to the service. They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and administrator/maintenance manager described the processes for the identification, monitoring, review and reporting of risks and development of mitigation strategies. The manager is familiar with the Health and Safety at Work Act (2015) and has implemented requirements. There is a risk register in place which covers all aspects of service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accident/incident forms reviewed showed these were completed to a level to show initial actions taken such as skin tear dressed, family notification and if the GP was informed. Data results are shared with staff at each meeting and any corrective actions required are discussed at the daily shift handover. The corrective actions reviewed for incidents and accidents were documented in the residents’ notes with outcomes shown. The incident and accident forms did not identify fully what ongoing corrective actions were to be taken such as putting a dressing plan in place or the need to take neurological observations.  This was discussed with management at the time of audit and they amended the accident/incident forms so that they can clearly show all corrective actions taken and the outcomes to measure the success of the actions. The service will continue to also enter this information in the residents’ clinical notes. Adverse event data is collated and analysed monthly, but no documented evidence was available to show that information gathered on incidents and accidents is used to improve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described essential notification reporting requirements, including for pressure injuries.  They advised there has been one notifications of a grade three pressure injury made to the Ministry of Health on the 14 August 2018. There have been no police investigations, coroner’s inquests, issues-based audits and any other notifications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identified that the organisation’s policies are not being consistently implemented related to staff education records.  There is no documented system in place to show when staff appraisals are due and annual appraisals are not all up to date to meet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Staff undertake approved (NZQA) on-line education. There are three trained and competent registered nurses who are maintaining their annual competency requirements to undertake interRAI assessments. Records reviewed demonstrated completion of the required training and completion of annual performance updates for interRAI.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This was confirmed during staff interviews and by the owner/director. The clinical nurse manager and owner/director are on call, with staff reporting that good access to advice is available when needed.   Care staff reported there were adequate staff available to complete the work allocated to them.  Residents and family interviewed supported this. Staffing levels meet the interRAI acuity level report findings.  Observations and review of a four-week roster cycle confirmed adequate staff cover has been provided, with staff replaced in any unplanned absence.  At least one staff member on duty has a current first aid certificate and there is 24/7 RN coverage.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undertake cleaning and laundry as part of their daily duties and this is identified in their job descriptions. A cook works 7am to 2pm seven days a week. The activities coordinator works three days a week 10am to 3pm and healthcare assistants undertake the activities as described in the activities calendar on the other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system for medicine management using a paper-based system was observed on the day of audit. The staff observed on the day of audit demonstrated safe medication practice.  All staff who administer medicines have undertaken an annual medication competency.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Most medications are supplied to the facility in a pre-packaged format from a contracted pharmacy which is checked by a registered nurse on arrival.  All medications sighted were within current use by dates. Clinical pharmacist input is evident.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and checked by two staff for accuracy when administering.  The previous audit identified an area for improvement to ensure that care staff who check medications are assessed as competent to perform their role.  The corrective action is now addressed, and records were available to demonstrate this.</w:t>
            </w:r>
          </w:p>
          <w:p w:rsidR="00EB7645" w:rsidRPr="00BE00C7" w:rsidP="00BE00C7">
            <w:pPr>
              <w:pStyle w:val="OutcomeDescription"/>
              <w:spacing w:before="120" w:after="120"/>
              <w:rPr>
                <w:rFonts w:cs="Arial"/>
                <w:b w:val="0"/>
                <w:lang w:eastAsia="en-NZ"/>
              </w:rPr>
            </w:pPr>
            <w:r w:rsidRPr="00BE00C7">
              <w:rPr>
                <w:rFonts w:cs="Arial"/>
                <w:b w:val="0"/>
                <w:lang w:eastAsia="en-NZ"/>
              </w:rPr>
              <w:t>The controlled drug register provided evidence of six-monthly stock checks and accurate entries.  The previous audit identified an area for improvement to ensure that all the controlled drug checks are recorded in the controlled drug register weekly.  This has been partially addressed, but further improvements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With the exception of one resident the prescriber’s signature and date of the commencement and discontinuation of medicines were sighted as was and all requirements for pro re nata (PRN) medicines.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required three-monthly GP review was consistently recorded on the medicine charts.  Standing orders are not used.  There were no residents who were self-administering medications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two cooks and is in line with recognised nutritional guidelines for older people.  The menu follows summer and winter patterns. The menu has not been reviewed in the last two years by a dietitian.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At time of audit the kitchen did not have a cleaning schedule or signing sheet.  The service has a food safety plan registration issued by the Ministry for Primary Industries which expires 20 June 2019.  Food temperatures, including for high risk items, are monitored appropriately and recorded as part of the plan. The cook has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satisfaction surveys.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care provided to residents was consistent with their needs, goals and the plan of care; however, neurological observations are not being measured for unwitnessed falls (see criterion 1.2.4.3).  Care plans were identified for wounds, but short-term care plans were not evident for infections.  There is one house doctor.  The GP interviewed, verified that medical input is sought in a timely manner, that medical orders are followed, and care is excellent.  Care staff confirmed that care was provided as outlined in the documentation and discussions at handover.   A range of equipment and resources was available, suited to the levels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and supports the residents Tuesdays, Wednesdays and Thursdays from 10.00 am – 3.00 pm.  There are also activities planned and provided to residents on Sunday.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however, not all residents files sighted had this initial social assessment and history undertaken.   The resident’s activity needs are evaluated weekly and as part of the formal six-monthly care plan review.  Several residents maintain their independence and regular participation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Residents and families/whānau are involved in evaluating and improving the programme to help formulate an activities programme that is meaningful to the residents and this occurs through daily residents’ discussions and satisfaction surveys. Residents interviewed confirmed they find the programme interactive and stimulating.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and document in the progress notes.   Examples of wound care plans being reviewed and progress evaluated as clinically indicated were sighted. Short term care plans were not always sighted for infections (see criterion 1.3.6.1).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09 February 2019) is publicly displayed. The service has adequate biomedical equipment which was checked in July 2018. They also have bariatric beds, hoists, commodes and wheelchairs. The beds are progressively being updated to remote control electronic hospital level care beds which staff state is a great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issues identified in the previous audit have been fully addressed by the service and electrical safety checks are completed. The kitchen bench has been replaced with a stainless steel bench and can be cleaned to meet infection control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with input from gerontology nurse specialist as required.  The previous audit identified an area for improvement to ensure that the infection control programme and manual are reviewed annually.  The corrective action is now addressed with records available to demonstrate that this last occurred in January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infections, respiratory tract infections, skin, wound, eye, gastro enteritis and other infections.  The IPC coordinator/owner manager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IPC co-ordinator and reported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28 infections from March 2018 to August 2018 with a total of 37 infections noted in 2017.  Three residents have been identified with seven of those 28 infections due to co-morbidities.  The residents’ files reviewed long-term care planning to reduce and minimise the risk of infection, but residents files did not show evidence of short term care plans (see criterion 1.3.6.1).    Care staff interviewed demonstrated knowledge of residents who have a higher risk of infections and the interventions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one resident was using bedside rails as an enabler. The resident confirmed during interview that they had requested the bedside rails so they can remain independent whilst in bed. These enablers, which were the least restrictive and used voluntarily at the resident’s request. The resident had a signed consent form for the enabler. </w:t>
            </w:r>
          </w:p>
          <w:p w:rsidR="00EB7645" w:rsidRPr="00BE00C7" w:rsidP="00BE00C7">
            <w:pPr>
              <w:pStyle w:val="OutcomeDescription"/>
              <w:spacing w:before="120" w:after="120"/>
              <w:rPr>
                <w:rFonts w:cs="Arial"/>
                <w:b w:val="0"/>
                <w:lang w:eastAsia="en-NZ"/>
              </w:rPr>
            </w:pPr>
            <w:r w:rsidRPr="00BE00C7">
              <w:rPr>
                <w:rFonts w:cs="Arial"/>
                <w:b w:val="0"/>
                <w:lang w:eastAsia="en-NZ"/>
              </w:rPr>
              <w:t>Restraint would only be used as a last resort when all alternatives have been explored and the facility is aiming to remain restraint free. This was evident on review of the restraint approval group minutes, files reviewed, and from staff interviews.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74"/>
        <w:gridCol w:w="1280"/>
        <w:gridCol w:w="7088"/>
        <w:gridCol w:w="1851"/>
        <w:gridCol w:w="17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were sighted for environmental issues which required improvement with outcomes identified. Complaints management corrective actions are clearly shown. However, incident and accident corrective actions are not always completed. For example, in relation to skin tears it is stated that a dressing has been applied but it is not identified if a wound care plan was put in place. The review of resident files identified that wound care plans are put in place as required. (Refer comments in criteria 1.2.4.3 and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satisfaction survey had a negative comment related to the type and number of outings. No documented follow-up could be found related to this and the resident who made the comment is no longer at the facility. No residents interviewed on the day of audit made any negative comments related to activity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was an area identified for improvement in the previous audit and whilst the service has made some improvements in this area, not all corrective actions are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 corrective actions are documented related to resident satisfaction survey results. Not all completed corrective actions taken related to the management of skin tears are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all corrective plans are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events are recorded on incident and accident forms. The form used did not identify if neurological observations were required only standard recordings such as blood pressure and pulse. Following discussion with management the form was updated to identify the need for further recordings for unwitnessed falls. Incident and accident information is documented in the individual residents’ clinical notes but no documented evidence was sighted to show how the findings were being used as an opportunity to improve services. Refer comments in criterion 1.2.3.8.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 documentation sighted confirmed adverse event information is used as an opportunity to improve services. Neurological observations are not being undertaken for unwitnessed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adverse event information is used to improve services. Provide evidence that neurological observations are undertaken for unwitnessed falls to meet policy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system in place to identify, plan and facilitate ongoing staff education. There is an annual education calendar in place which shows that regular on-site staff education is presented including guest speakers such as for first aid and a physiotherapist for manual handling. Staff confirmed during interview that education is relevant to the scope of practice offered. The owner/director informs staff of any off-site education and information is placed on the staff notice board. Off-site education includes palliative care, ADHB annual education days, management related topics and ‘Nikki’ pump education. The recording of in-service education is kept with a signing sheet to say which staff have attended but the contents of the education was not available. Individual staff education hours have not been recorded for the past year. Not all staff appraisals are up to date and there is no system in place to identify when each staff member’s appraisal is due.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education/in-service training content is not available. Staff off-site education is not always recorded. There is no record kept for individual staff member’s training hours. Four of seven staff files reviewed did not have up to date annual appraisals.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staff education is recorded for each staff member to accurately show the hours they have completed and that a copy of the content of education is available. Also that staff annual appraisals are to be up to date.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that reflect safe best medication practice are in place.  Medications are safely stored.  Medication disposal is managed safely by the pharmacist.  </w:t>
            </w:r>
          </w:p>
          <w:p w:rsidR="00EB7645" w:rsidRPr="00BE00C7" w:rsidP="00BE00C7">
            <w:pPr>
              <w:pStyle w:val="OutcomeDescription"/>
              <w:spacing w:before="120" w:after="120"/>
              <w:rPr>
                <w:rFonts w:cs="Arial"/>
                <w:b w:val="0"/>
                <w:lang w:eastAsia="en-NZ"/>
              </w:rPr>
            </w:pPr>
            <w:r w:rsidRPr="00BE00C7">
              <w:rPr>
                <w:rFonts w:cs="Arial"/>
                <w:b w:val="0"/>
                <w:lang w:eastAsia="en-NZ"/>
              </w:rPr>
              <w:t>A resident admitted to the facility from an acute setting on the 19 July 2018 was charted Warfarin.  The Warfarin dosage monitoring chart does not identify the therapeutic level for the international normalized ratio for blood clotting time (INR).  Phone orders received by registered nurses for a change of warfarin dosage are not documented to meet safe practice requirements.  There is no medical practitioners’ signature for the change of medication orders.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identified on the 27 July that the residents (INR) had risen to 4.2.  Warfarin was to be withheld and vitamin K to be administered. The (INR) recheck was due the next morning.  Conflicting correspondence is noted in the progress notes to say that the Warfarin was withheld and the medication signing sheet states that Warfarin had been administered.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28th July 2018 the resident visited his GP accompanied by a family member (no documentation of this visit was available).   He returned with two newly prescribed medications which are not identified on the resident’s medication chart.  Staff continued to administer the non-charted medication to the resident.  This medication is not being signed for as been given. The clinical nurse manager stated that this occurred over a three-day period.    </w:t>
            </w:r>
          </w:p>
          <w:p w:rsidR="00EB7645" w:rsidRPr="00BE00C7" w:rsidP="00BE00C7">
            <w:pPr>
              <w:pStyle w:val="OutcomeDescription"/>
              <w:spacing w:before="120" w:after="120"/>
              <w:rPr>
                <w:rFonts w:cs="Arial"/>
                <w:b w:val="0"/>
                <w:lang w:eastAsia="en-NZ"/>
              </w:rPr>
            </w:pPr>
            <w:r w:rsidRPr="00BE00C7">
              <w:rPr>
                <w:rFonts w:cs="Arial"/>
                <w:b w:val="0"/>
                <w:lang w:eastAsia="en-NZ"/>
              </w:rPr>
              <w:t>Though some improvement has been made the weekly control drug check remains unmet by the service.  The pharmacist undertook a six-monthly controlled drug check audit on the 26 June 2018.   The medication policy states the checking of controlled drugs must occur weekly; however, the stocktake of controlled drugs is occurring fortnightly when the pharmacist delivers the controlled drug medication.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identified therapeutic range for INR.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signed that Warfarin has been administered when it be requested that it be withheld. </w:t>
            </w:r>
          </w:p>
          <w:p w:rsidR="00EB7645" w:rsidRPr="00BE00C7" w:rsidP="00BE00C7">
            <w:pPr>
              <w:pStyle w:val="OutcomeDescription"/>
              <w:spacing w:before="120" w:after="120"/>
              <w:rPr>
                <w:rFonts w:cs="Arial"/>
                <w:b w:val="0"/>
                <w:lang w:eastAsia="en-NZ"/>
              </w:rPr>
            </w:pPr>
            <w:r w:rsidRPr="00BE00C7">
              <w:rPr>
                <w:rFonts w:cs="Arial"/>
                <w:b w:val="0"/>
                <w:lang w:eastAsia="en-NZ"/>
              </w:rPr>
              <w:t>Non-charted medication is being administered.</w:t>
            </w:r>
          </w:p>
          <w:p w:rsidR="00EB7645" w:rsidRPr="00BE00C7" w:rsidP="00BE00C7">
            <w:pPr>
              <w:pStyle w:val="OutcomeDescription"/>
              <w:spacing w:before="120" w:after="120"/>
              <w:rPr>
                <w:rFonts w:cs="Arial"/>
                <w:b w:val="0"/>
                <w:lang w:eastAsia="en-NZ"/>
              </w:rPr>
            </w:pPr>
            <w:r w:rsidRPr="00BE00C7">
              <w:rPr>
                <w:rFonts w:cs="Arial"/>
                <w:b w:val="0"/>
                <w:lang w:eastAsia="en-NZ"/>
              </w:rPr>
              <w:t>Weekly controlled drug checks are not occurring.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all medication management is undertaken to meet safe best practice medication guidelines and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and staff interviewed stated that they know the residents likes and dislikes of food and alternatives are provided as required and/or required.  The residents interviewed stated that they had a wide range of food options provided and were happy with the menu. The current menu was last reviewed by a dietitian in June 2013.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dietitian has not reviewed the current services menu within the last two years.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residents’ nutritional needs are provided in line with recognised nutritional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procurement, production and preparation comply with current legislation and guidelines.  The cook interviewed was aware of food safety guidelines. The kitchen observed at the time of audit was clean and tidy.   The cook interviewed stated that there was not a cleaning schedule for the kitchen and the cleaning was not signed off as completed but that cleaning does occur on a daily basis.  At the time of audit, the owner/manager printed of a copy of the cleaning schedule and signing sheet which was then sighted as commenced on the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cleaning schedule and signing sheet was not available in the kitchen.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cleaning schedule for the kitchen is available and signed by staff to show that cleaning in the kitchen is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interviewed stated that they know the residents well and information is provided about changes to the residents at staff handovers.  Information was recorded in residents’ progress and GP notes and long-term care plans identifying the residents with an increased risk of and/or frequency of infection.  One resident admitted in 2013 has had two recent infections, two residents (one admitted in October 2016 and one in April 2018), have each had three infections recorded, and one resident admitted in September 2017 has had seven infections recorded between December 2017 and the current date. All identified residents did not have supporting short term care plans evidenced.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10 residents’ files reviewed, four residents with infections did not have a supporting short-term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short term care plans are completed to meet policy and best practice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and care staff interviewed stated that they knew the residents very well and were able to identify and meet their needs.  Residents and families confirmed their involvement in the assessment process and care provided.   The activities co-ordinator provided evidence to show that evaluations of the residents and the activities they are attending is regularly reviewed.   Ten of the ten residents’ files reviewed did not have an activities social profile or assessment completed to identify the resident’s interests.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do not have a social profile assessment or care plan completed for activities.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 social profile and activities care plan is completed for all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Willows Home and Hospital Limited - The Willows Home and Hospital</w:t>
    </w:r>
    <w:bookmarkEnd w:id="58"/>
    <w:r>
      <w:rPr>
        <w:rFonts w:cs="Arial"/>
        <w:sz w:val="16"/>
        <w:szCs w:val="20"/>
      </w:rPr>
      <w:tab/>
      <w:t xml:space="preserve">Date of Audit: </w:t>
    </w:r>
    <w:bookmarkStart w:id="59" w:name="AuditStartDate1"/>
    <w:r>
      <w:rPr>
        <w:rFonts w:cs="Arial"/>
        <w:sz w:val="16"/>
        <w:szCs w:val="20"/>
      </w:rPr>
      <w:t>11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