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Cascades Retirement Resort Limited - The Cascades Retirement Resort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Cascades Retirement Resort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Cascades Retirement Resort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July 2018</w:t>
      </w:r>
      <w:bookmarkEnd w:id="7"/>
      <w:r w:rsidRPr="009418D4">
        <w:rPr>
          <w:rFonts w:cs="Arial"/>
        </w:rPr>
        <w:tab/>
        <w:t xml:space="preserve">End date: </w:t>
      </w:r>
      <w:bookmarkStart w:id="8" w:name="AuditEndDate"/>
      <w:r w:rsidR="00A4268A">
        <w:rPr>
          <w:rFonts w:cs="Arial"/>
        </w:rPr>
        <w:t>17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Cascades Retirement Resort is part of the Arvida aged care residential group.  The service provides rest home and hospital level of care for up to 75 residents in the care facility and up to 32 rest home level of care in studio apartments.  On the day of the audit there were 72 residents which included three residents at rest home level in studio apartments.  The residents, relatives and nurse practitioner commented positively on the care and services provided at the Cascades.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nurse practitioner.</w:t>
      </w:r>
    </w:p>
    <w:p w:rsidRPr="00A4268A">
      <w:pPr>
        <w:spacing w:before="240" w:line="276" w:lineRule="auto"/>
        <w:rPr>
          <w:rFonts w:eastAsia="Calibri"/>
        </w:rPr>
      </w:pPr>
      <w:r w:rsidRPr="00A4268A">
        <w:rPr>
          <w:rFonts w:eastAsia="Calibri"/>
        </w:rPr>
        <w:t xml:space="preserve">There was an acting village manager (registered nurse) with an aged care background who was orientating the new village manager on the day of audit.  She is supported by an experienced team leader/registered nurse.  </w:t>
      </w:r>
    </w:p>
    <w:p w:rsidRPr="00A4268A">
      <w:pPr>
        <w:spacing w:before="240" w:line="276" w:lineRule="auto"/>
        <w:rPr>
          <w:rFonts w:eastAsia="Calibri"/>
        </w:rPr>
      </w:pPr>
      <w:r w:rsidRPr="00A4268A">
        <w:rPr>
          <w:rFonts w:eastAsia="Calibri"/>
        </w:rPr>
        <w:t>This certification audit identified areas for improvement relating to interRAI training, human resources and care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the Cascades Retirement resort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Cascades Retirement resort has a current business plan and quality assurance and risk management plan that outlines objectives for the year.  The quality process being implemented includes regularly reviewed policies.  Aspects of quality information are reported to the monthly quality and staff meetings.  There is an annual internal audit calendar schedule.  Residents and relatives are provided the opportunity to feedback on service delivery issues at six monthly resident meetings and via annual resident/relative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2017 has been completed and the plan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caregivers responsible for administration of medicines complete annual education and medication competencies.  The medicine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diversional therapists and activity coordinator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have ensuites.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Cascades Retirement resort has restraint minimisation and safe practice policies and procedures in place.  At the time of the audit there were six residents with restraints and one resident using an enabler.  Assessments and consents were fully completed in the resident files reviewed.  The clinical team leader is the designated restraint coordinator.  Staff receive training around restraint minimisation and the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84"/>
        <w:gridCol w:w="1280"/>
        <w:gridCol w:w="92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11 care staff (six caregivers, three registered nurses (RN), one diversional therapist and one activities coordinator) confirmed their familiarity with the Code.  Interviews with nine residents (five rest home including one in the serviced apartments and four hospital) and three families (two rest home and one hospital) confirmed the services being provided are in line with the Code.  The Code is discussed at resident, staff and quality meetings.  Staff receive training on the Code, last occurring in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(permission granted) are included in the admission agreements sighted for eight long-term residents.  Consent forms are signed for any specific procedures.  One resident was admitted under the DHB PAC funding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cares.  Advance directives also identified the resident resuscitation status and signed by the resident (if appropriate) and the general practitioner.  The service acknowledges the resident is for resuscitation in the absence of a signed directive by the resident.  Copies of enduring power of attorney (EPOA) were seen in the resident files and activated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Seven admission agreements were sighted for the long-term residents.  The one resident under DHB PAC funding had signed a contract for convalescence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December 2017.  Information about accessing advocacy services information is available in the entrance foyer.  This includes advocacy contact details.  The information pack provided to residents at the time of entry to the service provides residents and family/whānau with advocacy information.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Thirty complaints have been received at The Cascades Retirement Resort since the last audit, 14 made in 2017 and 17 received in 2018 year to date.  The complaints reviewed have been managed appropriately with acknowledgement, investigations and responses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complaints made in 2018 was made through the Health &amp; Disability Commissioner (HDC) in June.  The documentation for the HDC complaint reviewed showed investigation and actions taken.  A response letter sent by The Cascades Retirement Resort in July 2018 had not received a response from HDC at the time of the audit.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clinical manager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There was one resident that identified as Māori at the time of the audit.  The file of the resident that identifies as Māori was reviewed and included a Māori health plan.  The service has established links with Te Puna Oranga at the local district health board (DHB) who provides advice and guidance on cultural matters.  Cultural and spiritual practice is supported and identified needs are incorporated into the care planning process.  Staff interviewed confirmed they are aware of the need to respond appropriately to maintain cultural safety.  Cultural safety training was last provided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is operationalising their vision ‘to transform the ageing experience’ within the care communities through the introduction of the household model.  The household model focuses on the relationship between the care team and the resident as partners in the pursuit of a rich and meaningful life.  The emphasis is on supporting each resident to live well and be actively engaged in their life the way they want it to be.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forms reviewed for June 2018 had documented evidence of family notification or noted if family did not wish to be informed.  Relatives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Cascades Retirement Resort is owned and operated by the Arvida Group.  The service provides rest home and hospital level care (medical and geriatric services) for up to 107 residents, with 75 dual-purpose beds in the care centre and up to 32 serviced apartments certified to provide rest home level care.  On the day of audit there were 72 residents in total.  There are 49 residents at rest home level (three were rest home residents in the serviced apartments) including one rest home resident on post-acute convalescent care (PAC) funded respite care and 23 residents at hospital level care, including one resident on a younger person with disabilities (YPD) contract.  All other residents were under the aged residential related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A recently appointed village manager (first week in the role at the time of the audit) manages the service.  The village manager has an extensive background in business management and wellness.  The village manager is supported by a clinical manager, clinical team leader and a learning coordinator/EN.  The village manager and clinical manager roles were previously vacant due to the managers leaving in May and April 2018 respectively.  The vacant clinical manager role is currently going through the recruitment process.  A relieving clinical manager (Arvida locum) has been managing the facility since April 2018 and she has over 30 years’ experience in managing aged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reports to the general manager operations on a variety of operational issues and provides a monthly report.  Arvida has an overall business/strategic plan.  The organisation has a philosophy of care, which includes a mission statement.  The Cascades Retirement Resort has a business plan for 1 April 2018 to 31 March 2019 and a quality and risk management plan in place.  </w:t>
            </w:r>
          </w:p>
          <w:p w:rsidR="00EB7645" w:rsidRPr="00BE00C7" w:rsidP="00BE00C7">
            <w:pPr>
              <w:pStyle w:val="OutcomeDescription"/>
              <w:spacing w:before="120" w:after="120"/>
              <w:rPr>
                <w:rFonts w:cs="Arial"/>
                <w:b w:val="0"/>
                <w:lang w:eastAsia="en-NZ"/>
              </w:rPr>
            </w:pPr>
            <w:r w:rsidRPr="00BE00C7">
              <w:rPr>
                <w:rFonts w:cs="Arial"/>
                <w:b w:val="0"/>
                <w:lang w:eastAsia="en-NZ"/>
              </w:rPr>
              <w:t>The relieving clinical manager has completed in excess of eight hours of professional development in the past 12 months.  The village manager was due to go through a comprehensive orientation programme for the village manager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clinical team leader, general manager operations, national quality manager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The Cascades Retirement Resort.  Interviews with staff confirmed that there is discussion about quality data at various staff meetings.  The village manager and clinical manager are responsible for providing oversight of the quality programme on-site, which is also monitored at an organisational level.  The quality and risk management programme is designed to monitor contractual and standards compliance.  Staff interviewed could describe the quality programme corrective action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use is reviewed at the monthly quality meeting.  Arvida has a group health and safety manager who works with all the village managers to ensure compliance with all health and safety requirements across the group.  Health and safety goals are established and regularly reviewed at the village manager’s monthly teleconference meeting.  Risk management, hazard control and emergency policies and procedures are being implemented and are monitored at the monthly health and safety committee meeting.  The health and safety representative (learning coordinator/EN) was interviewed about the health and safety programme.  Hazard identification forms and an up-to date hazard register (last reviewed 4 May 2018)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occur monthly and the residents and family members interviewed confirmed this.  Residents/relatives are surveyed to gather feedback on the service provided and the outcomes are communicated to residents, staff and families.  The overall service result for the resident/relative satisfaction survey completed in March 2018 was at 82%.  Corrective actions have been established in areas where improvements were identified (ie, food service and activities).  Corrective actions were being completed and signed off at the time of the audit.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follow-up of residents.  Fifteen incident forms reviewed demonstrated that appropriate clinical follow-up and investigation occurred following incidents.  However neurological observation forms were not completed as per protocol for four of seven unwitnessed falls with potential head injury (link 1.3.6.1).  Discussions with the management team confirmed that there is an awareness of the requirement to notify relevant authorities in relation to essential notifications.  There have been two section 31 notifications completed since the last audit for one stage four pressure injury in November 2017 and one stage three pressure injury in June 2017.  An outbreak of norovirus was notified to public health in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Eleven staff files reviewed (one clinical team leader, two RNs, four caregivers, one learning coordinator, one diversional therapist, one household manager and one head chef) included evidence of the recruitment process including police vetting, signed employment contracts, job descriptions and orientation checklists.  Missing was evidence of completed annual performance appraisals and reference checks.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Discussion with the learning coordinator/RN and records reviewed confirmed that an in-service training programme has been provided.  The acting clinical manager, clinical team leader and RNs are able to attend external training, including sessions provided by the local district health board (DHB).  Discussions with the caregivers and the RNs confirmed that ongoing training is encouraged and supported by the service.  Eight hours of staff development or in-service education has been provided annually.  There are fourteen RNs and two have completed interRAI training with an additional three RNs currently in progress of completing.  Not all interRAI assessments reviewed had been completed within the required timeframes due to the difficulty accessing trained interRAI assessors.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documented rationale for determining staffing levels and skill mixes for safe service delivery.  Sufficient staff are rostered on to manage the care requirements of the residents.  The service has a total of 104 staff in various roles.  Staffing rosters were sighted and there is staff on duty to match needs of different shifts.  The village manager and acting clinical manager work 40 hours per week from Monday to Friday and are available on call after hours.  The RN on each shift is aware that extra staff can be called on for increased resident requirements.  Interviews with residents and family members confirmed there are sufficient staff to meet the needs of residents.  The caregivers interviewed stated that they have sufficient staffing levels.  The care centre is split into two areas called stage one and stage two.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in stage one wing there are 29 rest home residents and 10 hospital residents.  There are two RNs on duty on the morning shift and one RN on the afternoon and night shifts.  They are supported by six caregivers on the morning shift, four caregivers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stage two wing there are 17 rest home residents and 13 hospital residents.  There is a clinical team leader and RN on duty on the morning shift and one RN on the afternoon and night shifts.  They are supported by six caregivers on the morning shift, four caregivers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were three rest home level residents.  There is an RN on duty on the morning shift who is supported by a caregiver on the morning and afternoon shifts.  The RN from stage one wing covers the serviced apartments on the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Residents' files are electronically stored in the resident management system, and are password protected.  Other residents or members of the public cannot view sensitive resident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and hospital care are provided for families and residents prior to admission or on entry to the service.  All admission agreements reviewed (for long-term residents)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Staff who administer medications (RNs and senior caregivers) have been assessed for competency on an annual basis and attend annual medication education.  All medication (robotic rolls) is checked on delivery against the electronic medication chart.  All medications are stored safely.  The medication fridge is checked weekly and is maintained within the acceptable temperature range.  All eye drops were dated on opening.  Standing orders are not used.  There is a bulk supply order for hospital level residents.  There were two rest home residents self-medicating on the day of audit.  Self-medication competencies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Eighteen medication charts reviewed met legislative requirements.  The medication charts had been reviewed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chefs, cooks and kitchenhands.  Food services staff have attended food safety training and chemical safety.  The food control plan has been verified and expires 28 March 2019.  The four-weekly seasonal menu has been developed by the chef manager and reviewed by the company dietitian.  The main meal provides two options including a vegetarian option.  Food is delivered in pots in hot boxes to the kitchenettes of each dining room and served from bain maries.  The chefs serve meals in the dining rooms.  Dislikes, food allergies, pureed and gluten free meals are provided.  The chef manager is notified of any residents with weight loss.  Smoothies and fortified foods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and serving temperatures are recorded daily.  Perishable foods sighted in the fridges were dated.  Dry goods are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interim care plan on admission including relevant risk assessment tools.  Risk assessments are completed six-monthly or earlier due to health changes.  InterRAI assessments were completed within the required timeframes for five of eight long-term residents (link 1.2.7.5).  An interim assessment and care plan had been completed for the one resident under DHB PAC/convalescence funding.  The outcomes of assessments are reflected in the needs and supports documented in the care plans.  Other available information such as discharge summaries, medical notes and in consultation with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on the resident electronic system were resident focused and individualised.  Support needs as assessed were included in the long-term care plans reviewed.  Care plans are updated with short-term needs.  Long-term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dietitian, nurse specialist, community mental health services and assessment and rehabilitation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is documented evidence on the family/whānau contact in the resident progress notes on the electronic system that shows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Electronic wound assessments and treatment forms and ongoing evaluations were in place for 14 residents with wounds including skin tears and lesions.  There were two rest home and one hospital level resident with pressure injures (one resident had a stage two and stage one pressure injury, one resident with a community acquired stage two and one resident with a healing facility acquired stage three pressure injury).  There is evidence of a wound nurse specialist involvement in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The high percentage of residents triggering an interRAI L2 CAP for undernutrition was identified due to the BMI not being entered into the data base.  All residents with a low BMI and L2 CAP trigger are on prescribed supplements.  Monitoring charts are completed on the electronic system such as pain, observations, weight, food and fluids and re-positioning.  Work logs for the caregivers and RNs record cares and monitoring, however these were not always documented as completed as outlined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(DT) who cover the Monday to Saturday integrated activity programme.  There is an activity coordinator for the studio apartments.  Rest home residents in studio apartments may choose to join the studio apartment or rest home/hospital activity programme.  Activities are held in the dining rooms or lounges in either the stage one or stage two part of the facility.  Residents are assisted to attend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provides individual and group activities that meets the abilities and preferences of the residents.  Activities include (but not limited to); exercise groups, current events, bowls, reminiscing, baking, music, crafts, board games, men’s shed, high teas, walks and movies.  There are weekly entertainers and community visitors including churches, stroke club visitors, preschool children and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such as individual walks, newspaper reading, and hand massage occur for residents who choose not to be involved in group activities.  Themes and events are celebrated.  There are regular outings/scenic drives for all residents.  The service has two vans (one wheelchair access).  There are visits to the stroke club and church movie days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on admission.  Individual activity plans were seen in long-term resident files.  The DT is involved in the six-monthly review with the RN.   The service receives feedback and suggestions for the programme through resident meetings and survey.  The residents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 monthly or earlier for any health changes for the long-term resident files reviewed.  Two rest home residents had not been at the service six months.  One resident was admitted for short-term care under a DHB PAC/convalescence contract.  Written evaluations reviewed identified if the resident goals had been met or unmet.  Family are invited to attend the care plan review and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24 May 2019.  The service employs a full-time maintenance person who has responsibility for the facility and village maintenance.  There are maintenance request books in each unit that are checked and signed off as requests are completed.  There is an annual maintenance plan which includes testing and tagging of electrical equipment and servicing and calibrations for medical equipment.  Essential contractors are available 24 hours.  Hot water temperatures in resident areas are monitored monthly.  Corrective actions were evidenced for temperature recordings above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ensuites.  The serviced apartments certified for rest home level of care all have a full ensuite.  The toilet and shower facilities are of an appropriate design to meet the needs of the residents.  There are communal toilets near lounges.  There is a large communal shower room (and shower trolley) available for use.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to safely manoeuvre using mobility aids or a hoist for transfers if required.  Residents and families are encouraged to personalise bedrooms.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stage one and stage two areas of the building each have a large communal dining room and large lounge with gas fire.  The doors from the dining area open out onto a courtyard with seating and shade.  There are seating alcoves appropriately placed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are accessible to residents.  Care staff assist to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cleaners on duty seven days a week.  The laundry and cleaning staff have completed chemical safety training and laundry processes.  The household supervisor (interviewed) could describe the clean/dirty flow of the laundry.  There is appropriate personal protective wear readily available.  The laundry is delivered in laundry bags through a chute from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trolley is stored in a locked area when not in use.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ensure health, civil defence and other emergencies are included.  A fire evacuation plan is in place that has been approved by the New Zealand Fire Service on 17 July 2014.  Six monthly fire evacuation practice documentation was sighted, with the last fire evacuation drill occurring on 13 February 2018.  A contracted service provides checking of all facility equipment including fire equipment.  Fire training and security situations are part of orientation of new staff and include competency assessments.  Emergency equipment is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in two water tanks.  There is adequate food supply, gas cooking (BBQ and gas hobs in the kitchen) and civil defence equipment available in the event of an emergency.  The provider has an arrangement to hire a generator if required.  Short-term backup power for emergency lighting is in place.  A minimum of one person trained in first aid and cardiopulmonary resuscitation (CPR) is available at all times.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and safe ventilation.  Underfloor heating provides an environment that is maintained at a safe and comfortable temperature.  Resident rooms have heat pumps that can be individually controlled.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leader/RN is the infection control coordinator with responsibility of overseeing infection control management for the facility.  The infection control coordinator reports to the monthly quality meeting.  The infection control programme is reviewed annually last in January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were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infection control education at the DHB.  There are adequate resources to implement the infection control programme for the size and complexity of the organisation.  The infection control coordinator has good support from the Arvida Group head office, the infection control nurse specialist at the DHB, laboratory technician, GPs, infection control NZ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for the size and complexity of the service.  The infection control manual outlines a comprehensive range of policies, standards and guidelines and includes responsibilities of the infection control team and training and education of staff.  The policies have been reviewed by the Arvida Group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includes hand hygiene.  There was good staff attendance at infection control education April 2018 and outbreak management July 2018.  Infection prevention and control competency (questionnaire and hand hygiene audit) is part of the staff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is entered onto a monthly infection summary.  This data is monitored and analysed for trends monthly and annually.  There has been one outbreak in June 2017 of confirmed norovirus.  Documentation demonstrated the outbreak was well managed.  The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six residents with restraints (five bed rails and one lapbelt) and one resident with an enabler (bedrail).  Enabler use is voluntary.  All necessary assessments and evaluations had been completed in relation to the restraints.  Policies and procedures include definition of restraint and enabler that are congruent with the definition in NZS 8134.0.  Restraint has been discussed as part of quality meetings.  Staff receive training around restraint minimisation and the management of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team leader is the designated restraint coordinator.  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assessments for residents who require restraint or enabler interventions.  These were undertaken by suitably qualified and skilled staff in partnership with the family/whānau.  The restraint coordinator, the resident and/or their representative and a medical practitioner were involved in the assessment and consent process.  In the three resident files (with restraints)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An assessment form/process is completed for all restraints and enablers.  The three resident files reviewed had a completed assessment form and a care plan that reflected risk.  Monitoring forms included regular two hourly monitoring.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completed by the restraint coordinator at least three monthly or earlier if required.  A review of three resident files identified that evaluations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 monthly as part of the medical review with the resident/family/whānau as appropriate.  Restraint usage is monitored regularly by the restraint coordinator.  Corrective actions are monitored.  Restraint is discussed at the quality meetings.  Individual restraint use is monitored and recorded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97"/>
        <w:gridCol w:w="1280"/>
        <w:gridCol w:w="6155"/>
        <w:gridCol w:w="3446"/>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policy and procedures describes the appointment process.  Eleven staff files reviewed (one clinical team leader, two RNs, four caregivers, one learning coordinator/EN, one diversional therapist, one household manager and one head chef) included evidence of the recruitment process including police vetting, signed employment contracts, job descriptions and orientation checklists.  Missing was evidence of completed annual performance appraisals and reference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staff files were reviewed, five of eleven files did not have documented evidence of an up-to-date annual performance appraisal and reference checks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files include completed annual performance appraisals and reference checks.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fourteen RNs and two have completed interRAI training.  The service has experienced the loss of interRAI trained RNs.  This has resulted in the service having only two interRAI trained RNs to complete the assessments timely manner.  There has been active recruitment of RNs, however they have been unable to access interRAI training to date.  There are currently three RNs in progress of completing interRAI training.  The provider has taken steps to access training for RNs, but the scheduling of training for the new staff, is beyond the control of the provider, which has led to a delay in the carrying out of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experienced a high turnover of RNs.  The service has also experienced difficulty in securing training places for newly employed RNs.  There are only two RNs who are interRAI trained with three RNs booked for training in July/August 2018.  As a result, the service has been unable to meet the required timeframes for interRAI assessments.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trainers provide interRAI training for RNs to enable the service to meet its contractual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to residents’ health are monitored and identified through ongoing daily assessments and progress notes/worklogs on the electronic system.  Changes to health are reported to the RN who informs the GP or other allied health specialists.  Not all daily care logs identified monitoring requirements described in the care plans.  However, caregivers interviewed described current cares including pressure injury prevention strategies.  Neurological observations had not been completed for the required time frame for all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Pressure injury prevention care/monitoring to be completed by caregivers during their daily cares were not documented as completed in the daily care logs for two hospital residents at high risk of pressure injury.  (ii) Neurological observations had not been completed for the required time frame as per protocol for four of seven unwitnessed falls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interventions are documented as implemented where required.  (ii) Ensure neurological observations are completed as per protocol.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Cascades Retirement Resort Limited - The Cascades Retirement Resort</w:t>
    </w:r>
    <w:bookmarkEnd w:id="58"/>
    <w:r>
      <w:rPr>
        <w:rFonts w:cs="Arial"/>
        <w:sz w:val="16"/>
        <w:szCs w:val="20"/>
      </w:rPr>
      <w:tab/>
      <w:t xml:space="preserve">Date of Audit: </w:t>
    </w:r>
    <w:bookmarkStart w:id="59" w:name="AuditStartDate1"/>
    <w:r>
      <w:rPr>
        <w:rFonts w:cs="Arial"/>
        <w:sz w:val="16"/>
        <w:szCs w:val="20"/>
      </w:rPr>
      <w:t>16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