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Waiuku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Waiuku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July 2018</w:t>
      </w:r>
      <w:bookmarkEnd w:id="7"/>
      <w:r w:rsidRPr="009418D4">
        <w:rPr>
          <w:rFonts w:cs="Arial"/>
        </w:rPr>
        <w:tab/>
        <w:t xml:space="preserve">End date: </w:t>
      </w:r>
      <w:bookmarkStart w:id="8" w:name="AuditEndDate"/>
      <w:r w:rsidR="00A4268A">
        <w:rPr>
          <w:rFonts w:cs="Arial"/>
        </w:rPr>
        <w:t>24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Waiuku is owned and operated by the CHT Healthcare Trust.  The service provides care for up to 60 residents requiring hospital and rest home level care.  On the day of the audit, there were 59 residents.  A unit manager, who is has been at the service for six months oversees the service and is supported by a clinical coordinator and the area manager.  Residents, relatives and the GP interviewed spoke positively about the service provided.</w:t>
        <w:br/>
        <w:t xml:space="preserve">This certification audit was conducted against the relevant Health and Disability service standards and the contract with the district health board.  The audit process included a review of policies and procedures, the review of residents and staff files, observations and interviews with residents, staff and management.  </w:t>
        <w:br/>
        <w:t>This audit has identified areas requiring improvement around the quality programme, care planning, evaluations, environmental temperatures, and civil defence.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CHT Waiuku strive to ensure that care is provided in a way that focuses on the individual, values residents' autonomy and maintains their privacy and choice.  Information about the Health and Disability Commissioner (HDC) Code of Health and Disability Services Consumers' Rights (the Code) is easily accessible to residents and families.  Policies are implemented to support residents’ rights.  Informed consent processes are followed, and residents' clinical files reviewed evidence informed consent is obtained.  Staff interviews inform a sound understanding of residents’ rights and their ability to make choices.  Care plans accommodate the choices of residents and/or their family/whānau.  Complaints and concerns are promptly managed.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area manager and quality manager provide governance and support to the unit manager.  The unit manager is also supported by a clinical coordinator, registered nurses and care staff.  The quality and risk management programme includes a service philosophy, goals and a quality planner.  Quality activities are conducted.  Residents’ meetings are held, and residents and families are surveyed annually.  Health and safety policies, systems and processes are implemented to manage risk.  Incidents and accidents are reported and followed through.  An education and training programme has been implemented.  Appropriate employment processes are adhered to and employees have an annual staff appraisal completed.  There is a roster that provides sufficient and appropriate coverage for the effective delivery of care and support.  Resident information is appropriately stored and managed.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Assessments, risk assessments, care plans, interventions and evaluations are completed by the registered nurses.  Care plans demonstrate service integration.  Residents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 varied and interesting activities programme for each resident group.  The activity programme meets the abilities and recreational needs of the group of residents including outings and entertainment.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and provides a range of dietary options that ensures individual and special dietary needs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w:t>
      </w:r>
    </w:p>
    <w:p w:rsidRPr="00A4268A">
      <w:pPr>
        <w:spacing w:before="240" w:line="276" w:lineRule="auto"/>
        <w:rPr>
          <w:rFonts w:eastAsia="Calibri"/>
        </w:rPr>
      </w:pPr>
      <w:r w:rsidRPr="00A4268A">
        <w:rPr>
          <w:rFonts w:eastAsia="Calibri"/>
        </w:rPr>
        <w:t xml:space="preserve">There are adequate numbers of communal toilets.  There is sufficient space to allow the movement of residents around the facility.  The hallways and communal areas are spacious and accessible.  The outdoor areas are safe and easily accessible. </w:t>
      </w:r>
    </w:p>
    <w:p w:rsidRPr="00A4268A">
      <w:pPr>
        <w:spacing w:before="240" w:line="276" w:lineRule="auto"/>
        <w:rPr>
          <w:rFonts w:eastAsia="Calibri"/>
        </w:rPr>
      </w:pPr>
      <w:r w:rsidRPr="00A4268A">
        <w:rPr>
          <w:rFonts w:eastAsia="Calibri"/>
        </w:rPr>
        <w:t xml:space="preserve">There are policies in place for emergency management.  There is a person on duty at all times with first aid training.  Housekeeping staff maintain a clean and tidy environment.  All laundry services are managed off-site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CHT Waiuku has restraint minimisation and safe practice policies and procedures in place.  Staff receive training in restraint minimisation and challenging behaviour management.  On the day of audit, there were five residents with restraint and one resident with an enabler.  Individual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Documented policies and procedures are in place for the prevention and control of infection and reflect current accepted good practice and legislative requirements.  The type of surveillance undertaken is appropriate to the size and complexity of the organisation.  Results of surveillance are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0"/>
        <w:gridCol w:w="1280"/>
        <w:gridCol w:w="93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Services Consumer Rights (the Code) has been incorporated into care.  Discussions with two registered nurses and four health care assistants identified their familiarity with the code of rights.  A review of care plans, meeting minutes and discussion with five residents (three rest home and two hospital) and five family members (one rest home and four hospital)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eight resident files (four hospital and four rest home, including one resident funded though short-term interim funding), were signed by the resident or their enduring power of attorney (EPOA).  Written consents were sighted for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Advanced directives and/or resuscitation status are signed for separately by the competent resident.  Copies of EPOA are kept on the resident’s file where required.  Four healthcare assistants and two registered nurses (RNs) interviewed, confirmed verbal consent is obtained when delivering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of long-term residents have signed admission agreements, and the interim funding care resident has a signed short-term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is a complaints’ form available.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Two complaints were received in 2017 and three in 2018.  Complaints have noted investigation, corrective actions and resolutions.  Results are provided to complainants and feedback is provided to staff.  Discussions with residents and relatives confirmed that any issues are addressed and that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are available in the front entrance foyer and throughout the facility.  Code of rights posters are displayed.  Client right to access advocacy services is identified for residents and advocacy service leaflets are available at the front entrance.  If necessary, staff will read and explain information to residents.  Information is also given to next of kin or enduring power of attorney (EPOA) to read to and discuss with the resident in private.  Residents and families are informed of the scope of services and any liability for payment for items not included in the scope.  This is included in the service agreement as evidenced in the sample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the requirements of the Privacy Act and Health Information Privacy Code.  Staff interviewed were knowledgeable about respecting resident’s privacy and described how they manage to maintain privacy and respect of personal property.  All residents interviewed stated their needs were met.  A policy describes spiritual care.  Church services occur on a regular basis.  All residents interviewed indicated that residents’ spiritual needs are being met when required.  The files reviewed did not always identify that cultural and/or spiritual values, individual preferences are identified (link 1.3.5.2).  Residents and families interviewed confirmed that staff are respectful and caring, and maintain their dignity, independence and privacy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Two residents identified as Māori on the day of the audit.  Cultural and spiritual practice is supported, however identified needs are not always incorporated into the care planning process (link 1.3.5.2).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service response policy guides staff in the provision of culturally safe care.  Regular reviews were evident, and the involvement of family/whānau was recorded in the resident care plan, however care plans did not always reflect identified needs around cultural and spiritual needs (link 1.3.5.2).  Residents and family interviewed feel that they are involved in decision making around the care of the resident.  Spiritual and pastoral care is an integral part of service provision.  Regular church services are provided to residents.  Residents social and recreational needs were documented in the sample of files reviewed.  Staff receive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which states there will be zero tolerance against any discrimination occurring.  Code of conduct and position descriptions outline staff responsibilities in terms of providing a discrimination free environment.  The Code of Rights is included in orientation and in-service training.  Training is provided as part of the staff training and education plan.  Interviews with staff confirmed their understanding of discrimination and exploitation and could describe how professional boundaries are maintained.  Discussions with residents identified that privacy is ensured.  Discussions with the nurse manager confirmed, and a review of complaints identified no complaints of this nature.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interviewed spoke positively about the care and support provided.  Staff interviewed had a sound understanding of principles of aged care and stated that they feel supported by the management team.  Staffing policies include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quality project around management of palliative residents and end of life care.  This includes good communication links with Franklin Hospice and involvement with Palliative Outcome Initiative.  The clinical coordinator has undertaken hospice training and is the Link Nurse for Franklin.  Hospice provides ongoing training for RN’s &amp; HCA’s.  Training was provided for staff in completion of advanced care plans, pain management and death &amp; dying.  Hospice provides syringe driver training for RN’s with annual updates.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Fourteen incidents/accidents forms, June and July 2018, were reviewed and included a section to record family notification.  All forms indicated family were informed or if family did not wish to be informed.  Relatives interviewed confirmed they were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Waiuku is owned and operated by the CHT Healthcare Trust.  The service provides rest home and hospital (geriatric and medical) level care for up to 60 residents.  On the day of the audit, there were 59 residents in total, 20 rest home level and 39 hospital level.  This includes one resident (rest home level) on an interim care contract.  All rooms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She has been in the manager role at the facility for six months and has experience in management.  A clinical coordinator who has been in the position for one year has five years’ experience in aged care management.  The area manager has been in the role for four months.  The unit manager reports to the area manager weekly, on a variety of operational issues.  CHT has an overall business/strategic plan and CHT Waiuku has a facility quality and risk management programme in place for the current year.  The unit managers performance plan was reviewed in May to incorporate objectives from the strategic plan.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clinical coordinator is in charge, with support from the area manager, the senior registered nurse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Interviews with staff confirmed that quality data is discussed at monthly staff meetings to which all staff are invited, however minutes of meetings do not always reflect this.  A falls graph is attached to meeting minutes.  The unit manager advised that she is responsible for providing oversight of the quality programme.  The quality and risk management programme is designed to monitor contractual and standards compliance.  Head office provides monthly quality data stats.  There was no documented evidence that the stats were analysed to identify trends and corrective actions where needed.  The service's policies are reviewed at national level, with input from facility staff every two years.  New/updated policies are sent from head office.  Staff have access to manuals.  Resident/relative meetings are held three-monthly.  Restraint and enabler use is reported within the clinical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is completed 6 monthly and was last completed April 2018.  Areas of non-compliance identified through internal audits were not always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Residents/relatives satisfaction surveys are sent out to selected residents each month.  Results are correlated and analysed at head office.  The results are forwarded to CHT Waiuku for action, however corrective actions were not established as a result of the satisfaction data collected.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investigates accidents and near misses and analysis of incident trends occurs.  Staff interviewed confirmed there is discussion of incidents/accidents at monthly clinical and staff meetings including actions to minimise recurrence, however this is not reflected in meeting minutes (link 1.2.3.6).  Fourteen resident incident forms sampled demonstrated that appropriate clinical follow-up and investigation occurred following incidents.  Discussions with the unit manager confirmed that there is an awareness of the requirement to notify relevant authorities in relation to essential notifications.  There were appropriate notifications made around two pressure injuries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A copy of practising certificates is kept.  Eight staff files were reviewed (one clinical coordinator, two registered nurses, one activities coordinator and four health care assistants) and evidenced that reference checks were completed before employment was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2017 has been completed and a plan for 2018 is being implemented.  The unit manager and registered nurses are able to attend external training, including sessions provided by the local DHB.  Five of the six registered nurses and the clinical coordinator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Careerforce is available for caregivers.  The majority have completed Careerforce level 2 or 3.  Caregivers and RNs complete manual handling competencies and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The unit manager works Monday to Friday, supported by weekly visits from the area manager.  There is a clinical coordinator who works full-time from Monday to Friday.  The unit and clinical coordinator are available during weekdays and share the on-call after hours.  Adequate RN cover is provided 24 hours a day, seven days a week.  Sufficient numbers of caregivers support the clinical coordinator and RNs.  Staff interviewed, advised that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split into five wings and staffed separately.  Two RNs are rostered on full shifts and share all five wings for both morning and afternoon shifts.  One RN works across the five wings on night shift.  The night shift RN is supported by three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ten-bed Bayview (four rest home and six hospital residents) and ten-bed Sandspit (two rest home and eight hospital residents) wings, both have one full shift HCA and share a short shift HCA on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Portside wing has 12 beds (three rest home and eight hospital residents) and Riverside wing has ten beds (two rest home and seven hospital current residents) both have a full shift HCA and share a short shift HCA on both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Edgewater wing has 19 beds (nine rest home and ten hospital residents) and has two HCAs (one long shift and one short shift) on morning and afternoons.  An additional five-hour morning shift provides support across all five wings.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health 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Information gathered on admission is retained in residents’ records.  The relatives interviewed stated they were well informed upon admission.  The service has a well-developed information pack available for residents/families/whānau at entry.  The admission agreements reviewed aligns with the service’s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is completed by the RN on delivery of medication and any errors fed back to pharmacy.  Registered nurses and senior caregivers who administer medications have been assessed for competency on an annual basis.  Care staff interviewed were able to describe their role regarding medicine administration.  Education around safe medication administration has been provided.  Medications were stored safely.  Medication fridges were monitored weekly and all temperatures were within the acceptable range.  There were no expired medications.  All eye drops, and creams were dated on opening.  There were no residents who self-administer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on the electronic medication system.  All medication charts reviewed have ‘as required’ medications prescribed with an indication for use.  The effectiveness of ‘as required’ medications is entered into the electronic medication system.  Medication charts had been reviewed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by a contracted service.  The chef/kitchen manager is supported by a second chef, cooks and kitchen assistants.  All staff have been trained in food safety and chemical safety.  There is a food services manual in place to guide staff.  A resident nutritional profile is developed for each resident on admission and provided to the kitchen staff.  This document is reviewed at least six monthly as part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kitchen can meet the needs of residents who require special diets.  The RNs inform the kitchen manager of any residents with specific nutritional needs, food allergies, or food likes or dislikes.  The kitchen manager and cooks follow a rotating seasonal menu, which has been reviewed by a dietitian.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 (link to 1.4.7.1).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Risk assessments have been completed on admission and reviewed six-monthly as part of the evaluation process.  The outcomes of interRAI assessments and risk assessments that were reflected in the care plans reviewed.  Additional assessments such as behavioural, wound and restraints have been completed according to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Support needs and interventions were not always documented to reflect the resident goals and the resident’s current health status.  Family members interviewed confirmed care delivery and support by staff is consistent with their expectations.  Residents (if appropriate) and family stated they were involved in the care planning and review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GP/NP visit or nurse specialist consultant.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ten identified wounds (skin tears, chronic ulcer, two grade two pressure injuries and one grade three pressure injury) (link to 1.3.5.2 as one resident with a minor wound had no wound plan).  There is access to a wound nurse specialist at the DHB.  Adequate dressing supplies were sighted in the treatment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four activity coordinators, one of whom is undertaking level four Diversional Therapy training.  The team coordinate and implement the activity programme, and the programme is across seven days a week.  The programme is integrated to meet the physical and psychosocial well-being of the residents.  The programme includes new activities when requested by residents and is varied.  There are regular outings into the community.  One-on-one activities such as individual walks, reading and chats and hand massage occur for residents who choose not to be involved in group activities.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varied activities programme which they have input into.  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eight care plans had been evaluated by registered nurses’ six monthly.  Two residents had not been at the service six months and one resident care plan was for a short-term interim funding contract.  Evaluations did not always describe the resident’s progress against the resident’s identified goals.  Changes to care are updated on the long-term care plan.  The services use the interRAI tool as the main evaluation process.  There is at least a three-monthly review by the medical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residents’ files reviewed.  The service facilitates access to other medical and non-medical services.  Referral documentation is maintained on residents’ files.  Discussions with the clinical coordinator and RNs identified that the service has access to a wide range of support through the GP, nurse specialists, hospice and contracted allied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17 September 2018.  There is a full-time maintenance person who works over four facilities.  The maintenance person ensures daily maintenance requests are addressed.  He maintains a monthly planned maintenance schedule.  Essential contractors are available 24 hours a day, seven days a week.  Electrical testing and annual calibration have been completed.  Hot water temperatures in resident areas are monitored three-monthly.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Residents were observed to safely access the outdoor gardens and courtyards.  Seating and shade is provided.  The heaters in the hallways were very hot to touch.</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adequate number of toilets and shower/bathing areas for residents and separate toilets for staff and visitors.  Several bedrooms have their own ensuites.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the level of care to be provided and for the safe use and manoeuvring of mobility aids including hoists.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include the main lounge and several smaller lounges and four separate dining areas.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contracted cleaning staff.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off-site except kitchen and personal items.  Residents and relatives interviewed were satisfied with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is included in the mandatory in-service programme.  There is a first aid trained staff member on every shift.  The facility has an approved fire evacuation plan and fire drills take place six monthly.  Smoke alarms, a sprinkler system, exit signs, emergency lighting and gas cooking facilities are in place.  There are civil defence kits in the facility and adequate water storage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call-bell system is evident in resident’s rooms, lounge areas, and toilets/bathrooms.  Staff confirmed that they conduct security checks at night.  </w:t>
            </w:r>
          </w:p>
          <w:p w:rsidR="00EB7645" w:rsidRPr="00BE00C7" w:rsidP="00BE00C7">
            <w:pPr>
              <w:pStyle w:val="OutcomeDescription"/>
              <w:spacing w:before="120" w:after="120"/>
              <w:rPr>
                <w:rFonts w:cs="Arial"/>
                <w:b w:val="0"/>
                <w:lang w:eastAsia="en-NZ"/>
              </w:rPr>
            </w:pPr>
            <w:r w:rsidRPr="00BE00C7">
              <w:rPr>
                <w:rFonts w:cs="Arial"/>
                <w:b w:val="0"/>
                <w:lang w:eastAsia="en-NZ"/>
              </w:rPr>
              <w:t>The service does not have enough food stocked for three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(link to 1.4.2.4).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Waiuku has an infection control programme.  The infection control programme, its content and detail, is appropriate for the size, complexity and degree of risk associated with the service.  It is linked into the incident reporting system.  A registered nurse is the designated infection control coordinator with support from the unit manager, the clinical coordinator and all staff as the quality management committee (infection control team).  Minutes are available for staff (link 1.2.3.6).  Internal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CHT Waiuku is the designated infection control (IC) coordinator.  There are adequate resources to implement the infection control programme, for the size and complexity of the organisation.  The IC nurse and IC team (comprising all staff) has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described in CHTs infection control manual.  The surveillance policy described the purpose and methodology for the surveillance of infections.  Definitions of infections in place appropriate to the complexity of service provided.  Individual infection report forms are completed for all infections and are kept as part of the resident files.  Short-term care plans are used.  Infections are included on an electronic register and the infection prevention and control officer completes a monthly report.  This data is monitored and evaluated monthly and annually.  Interviews with staff confirmed monthly data is reported to the combined infection prevention and control, health and safety and staff meetings, however trends and required training are not documented (link 1.2.3.6).  The infection prevention and control officer use the information obtained through surveillance to determine infection prevention and control activities, resources, and education needs within the facility.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five residents with restraint and one resident with an enabler.  All five residents have bed rail restraints and one of these also used a lap belt as restraint.  The enabler in use is a bed rail.  The enabler file sampled documented that enabler use is voluntary.  All necessary documentation has been completed in relation to the restraints.  Policies and procedures include definition of restraint and enabler that are congruent with the definition in NZS 8134.0.  Staff training/education on restraint/enablers has recently been provided in June 2018.   A registered nurse is the designated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restraint coordinator.  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individual assessments for residents who require restraint or enabler interventions.  These were undertaken by suitably qualified and skilled staff, in partnership with the family/whānau, in three restraints and one enabler resident files sampled.  The restraint coordinator, the resident and/or their representative and a medical practitioner were involved in the assessment and consent process.  In the files reviewed, assessments and consents were fully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An assessment form is completed for all restraints and enablers.  The files reviewed had a completed assessment form and a care plan that reflected risk.  Monitoring forms that included regular monitoring at the frequency determined by the risk level were present in the files reviewed.  There is a restraint register as part of monthly reports.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reviews restraint as part of the internal audit and reporting cycle.  The restraint coordinator completes the restraint review; and reports to the staff and clinical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5405"/>
        <w:gridCol w:w="4024"/>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is responsible for collecting adverse event data and implementation of the internal audit programme, as per the internal audit schedule.  Quality improvement data is collected around falls, skin tears, infections, and other adverse events, but there is little evidence to support that this data is being trended and analysed.  Staff are informed regarding the number and type of adverse events each month but are not informed around trends in data or what the data is reflecting.  Staff are informed of internal audit results, as evidenced in staff meeting minutes (link 1.2.3.8).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not being trended and analysed.  Meeting minutes did not evidence that quality data and outcomes are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quality data collected is trended and analysed, and that this information is shared with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planning process is to be completed where internal audits and satisfaction surveys reflect sub-optimal results.  However, corrective action plans were not consistently being established when required.  Where corrective action plans are developed, there are gaps in the documentation around implementation and sign-off of these corrective action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Corrective action plans are not regularly being developed where opportunities for improvement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ii) Where corrective action plans are documented, there is a lack of consistent evidence of these plans being implemented, with sign-off by the person(s) responsible.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corrective action plans are established where opportunities for improvements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established corrective action plans are implemented and are signed-off by the person(s) responsible.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eight resident files reviewed included an up-to-date electronic care plan.  Not all interventions were documented to support assessed needs in the long-term care plans reviewed.  During the admission process, the registered nurse, along with the resident and family/whānau, discuss cultural and spiritual considerations, however this was not always reflected in individual care plans.  Regular reviews were evident, and the involvement of family/whānau was recorded in the resident care plan.  Interviews with staff evidenced that staff were familiar with care needs for all residents.  Both residents and families interviewed stated that the care provided was very good.  The GP described the clinical care as ‘very good’ and described the staff as very caring and proactive.  Interviews identified current needs were being provided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(i)Two initial care plans had not been fully completed (one hospital and one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(ii) Two of four hospital care plans did not include all interventions to support assessed needs; both did not include changes to manual handling (hoisting needs), one did not include the risks associated with restraint and the other did not include the need for a puree diet (noting the kitchen was aware).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(iii)Three of four rest home level care plans did not include interventions for safe care.  (a) Care plan one did not include interventions for safe smoking, interventions and support for panic attacks, and the care plan described the use of oxygen which was not prescribed (Noting, staff interviewed stated oxygen was not being given).  (b) Care plan two did not include the need to elevate feet and pressure injury care.  The care plan had incorrect mobilising interventions and there was no wound plan for an identified minor wound being dressed.  (c) Care plan three did not include all triggers from the interRAI including falls. </w:t>
            </w:r>
          </w:p>
          <w:p w:rsidR="00EB7645" w:rsidRPr="00BE00C7" w:rsidP="00BE00C7">
            <w:pPr>
              <w:pStyle w:val="OutcomeDescription"/>
              <w:spacing w:before="120" w:after="120"/>
              <w:rPr>
                <w:rFonts w:cs="Arial"/>
                <w:b w:val="0"/>
                <w:lang w:eastAsia="en-NZ"/>
              </w:rPr>
            </w:pPr>
            <w:r w:rsidRPr="00BE00C7">
              <w:rPr>
                <w:rFonts w:cs="Arial"/>
                <w:b w:val="0"/>
                <w:lang w:eastAsia="en-NZ"/>
              </w:rPr>
              <w:t>(iv) Care plans reviewed do not always reflect cultural or spiritual needs including those of two Māori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document the care and support needed for each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eight resident care plans reviewed, five were for residents who had been with the service for over six months.  All five had been reviewed using the interRAI tool and the care plan updated six monthly.  There was no documented evaluation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long-term care plans reviewed did not include a documented evaluation of care against stated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 evaluation of care and progress towards stated goals is documented at least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warm and homely on the day of audit and communal areas are spacious and appropriate to the client group.  The heaters were very hot to touch.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night store heater in the hallways were very hot to touch and were a potential burning hazard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residents are protected from the direct heat form the night store heaters.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emergency equipment and civil defence equipment readily available.  There is not enough food stored on-site for three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maintain a stock of food for three days in case of emergencies.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are sufficient stocks of food available for three days of meals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Waiuku Hospital and Rest Home</w:t>
    </w:r>
    <w:bookmarkEnd w:id="58"/>
    <w:r>
      <w:rPr>
        <w:rFonts w:cs="Arial"/>
        <w:sz w:val="16"/>
        <w:szCs w:val="20"/>
      </w:rPr>
      <w:tab/>
      <w:t xml:space="preserve">Date of Audit: </w:t>
    </w:r>
    <w:bookmarkStart w:id="59" w:name="AuditStartDate1"/>
    <w:r>
      <w:rPr>
        <w:rFonts w:cs="Arial"/>
        <w:sz w:val="16"/>
        <w:szCs w:val="20"/>
      </w:rPr>
      <w:t>23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