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Palmerston Manor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Palmerston Manor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July 2108</w:t>
      </w:r>
      <w:bookmarkEnd w:id="7"/>
      <w:r w:rsidRPr="009418D4">
        <w:rPr>
          <w:rFonts w:cs="Arial"/>
        </w:rPr>
        <w:tab/>
        <w:t xml:space="preserve">End date: </w:t>
      </w:r>
      <w:bookmarkStart w:id="8" w:name="AuditEndDate"/>
      <w:r w:rsidR="00A4268A">
        <w:rPr>
          <w:rFonts w:cs="Arial"/>
        </w:rPr>
        <w:t>31 July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Purchase by new provider</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Palmerston Manor Rest Home provides rest home and hospital level care for up to 48 residents. The service is operated by Oceania Group Ltd and managed by a business care manager and a clinical manager. The facility is being purchased, and a representative from the prospective owner was on site during the audit. Residents and families spoke positively about the care provided.</w:t>
      </w:r>
    </w:p>
    <w:p w:rsidRPr="00A4268A">
      <w:pPr>
        <w:spacing w:before="240" w:line="276" w:lineRule="auto"/>
        <w:rPr>
          <w:rFonts w:eastAsia="Calibri"/>
        </w:rPr>
      </w:pPr>
      <w:r w:rsidRPr="00A4268A">
        <w:rPr>
          <w:rFonts w:eastAsia="Calibri"/>
        </w:rPr>
        <w:t>This provisional audit was conducted against the Health and Disability Services Standards and the service’s contract with the district health board. The audit process included review of policies and procedures,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There were no areas identified for improvement during this audit.  </w:t>
      </w:r>
    </w:p>
    <w:p w:rsidRPr="00A4268A">
      <w:pPr>
        <w:spacing w:before="240" w:line="276" w:lineRule="auto"/>
        <w:rPr>
          <w:rFonts w:eastAsia="Calibri"/>
        </w:rPr>
      </w:pPr>
      <w:r w:rsidRPr="00A4268A">
        <w:rPr>
          <w:rFonts w:eastAsia="Calibri"/>
        </w:rPr>
        <w:t>This facility is one of several being purchased at this time by Heritage Lifecare Limited (HLL) following the purchases of 16 other facilities since late 2017.HLL is a national provider with senior staff experienced in rest home, hospital and dementia level services. The HLL National Manager Clinical and Quality reported in June 2018 that HLL have a senior project team managing the transition of each new facility to HLL processes over a period of six months. The Palmerston Manor management have been informed of the purchase date and the transition plans by HLL management. The transition will include the changeover to HLL; infrastructure support, policies, procedures and processes, and information technology systems. Workshops will be held for Palmerston Manor staff as part of the transition plan.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Residents who identify as Maori have their needs met in a manner that respects their cultural values and beliefs. There was no evidence of abuse, neglect or discrimination.</w:t>
      </w:r>
    </w:p>
    <w:p w:rsidRPr="00A4268A">
      <w:pPr>
        <w:spacing w:before="240" w:line="276" w:lineRule="auto"/>
        <w:rPr>
          <w:rFonts w:eastAsia="Calibri"/>
        </w:rPr>
      </w:pPr>
      <w:r w:rsidRPr="00A4268A">
        <w:rPr>
          <w:rFonts w:eastAsia="Calibri"/>
        </w:rPr>
        <w:t>The service has linkages with a range of specialist health care professionals to support best practice and meet resident’s needs.</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was accurately recorded, securely stored and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The organisation works closely with the local Needs Assessment and Service Co-ordination Service, to ensure access to the facility is appropriate and efficiently managed. When a vacancy occurs, sufficient and relevant information is provided to the potential resident/family to facilitate the admission.</w:t>
      </w:r>
    </w:p>
    <w:p w:rsidRPr="00A4268A" w:rsidP="00621629">
      <w:pPr>
        <w:spacing w:before="240" w:line="276" w:lineRule="auto"/>
        <w:rPr>
          <w:rFonts w:eastAsia="Calibri"/>
        </w:rPr>
      </w:pPr>
      <w:r w:rsidRPr="00A4268A">
        <w:rPr>
          <w:rFonts w:eastAsia="Calibri"/>
        </w:rPr>
        <w:t>Residents` needs are assessed by the multidisciplinary team on admission within the required timeframes. Registered nurses are on duty 24 hours each day in the facility and are supported by care and allied health staff. The service has nine general practitioners and one nurse practitioner available to provide the medical care for the residents. On call arrangements for support from senior staff are in place. Shift handovers and communication books guide continuity of care.</w:t>
      </w:r>
    </w:p>
    <w:p w:rsidRPr="00A4268A" w:rsidP="00621629">
      <w:pPr>
        <w:spacing w:before="240" w:line="276" w:lineRule="auto"/>
        <w:rPr>
          <w:rFonts w:eastAsia="Calibri"/>
        </w:rPr>
      </w:pPr>
      <w:r w:rsidRPr="00A4268A">
        <w:rPr>
          <w:rFonts w:eastAsia="Calibri"/>
        </w:rPr>
        <w:t>The person-centred care plans are individualised, based on a comprehensive and integrated range of clinical information. Short term care plans are developed to manage any new problems that might arise. All residents` records reviewed demonstrated that needs, goals and outcomes are identified and reviewed on a regular basis. Residents/representatives/families interviewed reported being well informed and involved in care planning and evaluation, and that the care provided was of an adequate standard. Residents are referred or transferred to other health services as required, with appropriate verbal and written handover information. A current interRAI assessment is also completed prior to transfer.</w:t>
      </w:r>
    </w:p>
    <w:p w:rsidRPr="00A4268A" w:rsidP="00621629">
      <w:pPr>
        <w:spacing w:before="240" w:line="276" w:lineRule="auto"/>
        <w:rPr>
          <w:rFonts w:eastAsia="Calibri"/>
        </w:rPr>
      </w:pPr>
      <w:r w:rsidRPr="00A4268A">
        <w:rPr>
          <w:rFonts w:eastAsia="Calibri"/>
        </w:rPr>
        <w:t xml:space="preserve">The planned activity programme implemented by the activities coordinator and overseen by a diversional therapist provides the residents with a variety of individual and group activities and maintains their link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Medications are administered by registered nurses and three senior healthcare assistants (checkers)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A food safety plan and policies guide food service delivery and this is supported by staff with food safety qualifications.  The system is well organised and meets all food safety standards. Residents and family members interviewed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Two enablers and two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managed infections. There are terms of reference for the infection control committee which meets monthly. Specialist infection prevention and control advice can be accessed from the DHB, microbiologist, physician and the general practitioners. The programme is reviewed annually.</w:t>
      </w:r>
    </w:p>
    <w:p w:rsidRPr="00A4268A">
      <w:pPr>
        <w:spacing w:before="240" w:line="276" w:lineRule="auto"/>
        <w:rPr>
          <w:rFonts w:eastAsia="Calibri"/>
        </w:rPr>
      </w:pPr>
      <w:r w:rsidRPr="00A4268A">
        <w:rPr>
          <w:rFonts w:eastAsia="Calibri"/>
        </w:rPr>
        <w:t>Staff demonstrated sound practice and understanding around infection control, which is guided by relevant policies and procedures and supported with regular education.</w:t>
      </w:r>
    </w:p>
    <w:p w:rsidRPr="00A4268A">
      <w:pPr>
        <w:spacing w:before="240" w:line="276" w:lineRule="auto"/>
        <w:rPr>
          <w:rFonts w:eastAsia="Calibri"/>
        </w:rPr>
      </w:pPr>
      <w:r w:rsidRPr="00A4268A">
        <w:rPr>
          <w:rFonts w:eastAsia="Calibri"/>
        </w:rPr>
        <w:t>Aged care specific surveillance is undertaken, analysed, trended and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50</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101</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04"/>
        <w:gridCol w:w="1280"/>
        <w:gridCol w:w="94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rights policy contains a list of consumer rights that are in line with the Health and Disability Commissioner`s (HDC) Code of the Health and Disability Services Consumers` Rights (the Code). Clinical staff interviewed understood the requirements of the Code and were observed demonstrating respectful communication, encouraging independence, providing options and choices and maintaining dignity and privacy. Training on the Code is included as part of the orientation process for all staff employed and in ongoing education training as was verified in the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and health care assistants interviewed understood the principles and practice of informed consent. Informed consent policies provided relevant guidance to staff. Clinical records reviewed showed that informed consent had been gained appropriately using the organisation`s consent forms. Advance care planning, establishing and documenting enduring power of attorney requirements and processes for residents unable to consent was defined and documented as relevant in the resident’s individual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advocacy services. Pamphlets and posters related to the advocacy service are displayed and available in the facility. Family members and residents spoken with were aware of the advocacy service and how to access this and their right to have support persons.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maintaining independence and links with family and friends in the community by attending a variety of organised activities, visits, shopping trips, entertainment and/or activities. The facility welcomes visitors and encourages visits from residents’ family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complaints/concerns/issues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eleven complaints have been received over the past year and that actions taken, through to an agreed resolution, are documented and completed within the timeframes.  Action plans showed any required follow up and improvements have been made where possible. The business care manager (BCM) is responsible for complaints management and follow up. All staff interviewed confirmed a sound understanding of the complaint process and what actions are required. There have been no complaints received from external sources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and family/whanau that were available for interview reported that the Code was explained to them on admission and is part of the admission pack. Interviews with residents able to provide insight into their care, expressed that they are treated well and are happy at this facility. The Code is displayed in several main areas throughout the facility together with information about the nationwide health and disability advocacy service. Brochures are available at the entrance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provider interviewed is an experienced aged care sector provider and has extensive knowledge and understanding of the requirements of the Code.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family/whanau members and residents interviewed reported that they are treated in a manner that shows regard for their dignity, privacy and independence. All residents have a single room and interviews with residents/family are held in private. There is also a lounge with a telephone for residents` use or meetings.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community activities. The majority of residents choose to have their own GP. Care plans included documentation related to the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The residents` records reviewed indicate that residents receive services that are responsive to their needs, values and beliefs of culture, religion and their ethnicity. Residents and family members reported a high level of satisfaction with all levels of care they receive.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service’s policy on abuse and neglect including what to do should there be any signs. Education on abuse and neglect was confirmed to occur during orientation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current Maori health plan developed with input from cultural advisers. This plan includes a range of cultural issues/considerations for staff to be aware of to ensure the provision of culturally appropriate care to Maori residents. Family/whanau input and involvement in services delivery is sought if applicable. When required other supports are accessed. Best practice principles are identified. A commitment to the Treaty of Waitangi is included. Staff are provided with training on the provision of culturally appropriate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resident who identifies as Maori and respect is maintained and tikanga practices are adhered to. Caregivers interviewed were aware of the appropriate protocol when providing care to ensure the identified cultural needs of each individual resident was effectively met.  Extended whanau/friends are welcome anytime and to join in the activities programme. The service promotes equal access to services for Maori residents. There is one staff member who identifies as Maori.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have equal access to services and are not discriminated against or prejudiced because of race, sex, creed, gender and religious beliefs.</w:t>
            </w:r>
          </w:p>
          <w:p w:rsidR="00EB7645" w:rsidRPr="00BE00C7" w:rsidP="00BE00C7">
            <w:pPr>
              <w:pStyle w:val="OutcomeDescription"/>
              <w:spacing w:before="120" w:after="120"/>
              <w:rPr>
                <w:rFonts w:cs="Arial"/>
                <w:b w:val="0"/>
                <w:lang w:eastAsia="en-NZ"/>
              </w:rPr>
            </w:pPr>
            <w:r w:rsidRPr="00BE00C7">
              <w:rPr>
                <w:rFonts w:cs="Arial"/>
                <w:b w:val="0"/>
                <w:lang w:eastAsia="en-NZ"/>
              </w:rPr>
              <w:t>The residents’ records reviewed demonstrated consultation with both the resident and family/whanau on individual values and beliefs. The family/whanau and residents interviewed reported they are consulted with the assessment and care planning development. The clinical staff interviewed demonstrated good knowledge on respecting residents’ culture, values and beliefs. The iwi and cultural needs of a resident who identifies as Maori was identified in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they/their family member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if they suspected a breach of professional boundaries.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organisation’s philosophy is adhered to and the service encourages and promotes good practice through providing a caring environment. Additional professional support is sought as required from nurse specialists, wound care specialists, a psycho-geriatrician and the hospice palliative care team. A planned education programme for both registered nurses and health care assistants is held annually to cover all mandatory training. The nurse practitioner interviewed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to their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 in residents’ records reviewed. Staff interviewed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how to access interpreter services when required, through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the organisation. The documents described annual and longer-term objectives and the associated operational plans. A sample of monthly reports to head office showed adequate information to monitor performance is reported including financial performance, occupancy, staffing, emerging risks and issues.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business and care manager (BCM) who holds relevant qualifications and has been in the role for six months. Responsibilities and accountabilities are defined in a job description and individual employment agreement.  The BCM confirmed knowledge of the sector, regulatory and reporting requirements and maintains currency through the organisation’s professional development programme.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district health board (DHB) for respite, rest home and complex medical (hospital) services and with the Ministry of Health (MoH) for Younger Persons with a Disability (YPD) services. Forty-seven residents were receiving services under the contract (32 hospital including one YPD resident and 16 at rest home level)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New Provider Interview July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new provider is Heritage Lifecare Limited (HLL), an established New Zealand aged care provider, operating more than 2042 beds in the sector. This proposed acquisition will add a further five facilities across the country.  An organisational structure document sighted details the reporting lines to the board currently in place (as at 30 November 2017).  </w:t>
            </w:r>
          </w:p>
          <w:p w:rsidR="00EB7645" w:rsidRPr="00BE00C7" w:rsidP="00BE00C7">
            <w:pPr>
              <w:pStyle w:val="OutcomeDescription"/>
              <w:spacing w:before="120" w:after="120"/>
              <w:rPr>
                <w:rFonts w:cs="Arial"/>
                <w:b w:val="0"/>
                <w:lang w:eastAsia="en-NZ"/>
              </w:rPr>
            </w:pPr>
            <w:r w:rsidRPr="00BE00C7">
              <w:rPr>
                <w:rFonts w:cs="Arial"/>
                <w:b w:val="0"/>
                <w:lang w:eastAsia="en-NZ"/>
              </w:rPr>
              <w:t>The transition plan is led by an experienced and well-qualified project team who are specifically focussing on the integration of the current facilities into the Heritage Lifecare Ltd group. This includes provision of infrastructure support such as providing information technology capability including hardware and software.  Regional workshops are planned to introduce documentation, and the new HLL systems and processes. This is planned to occur within the first three months. The project team is working with the Oceania team to ensure a smooth transition of each operation.</w:t>
            </w:r>
          </w:p>
          <w:p w:rsidR="00EB7645" w:rsidRPr="00BE00C7" w:rsidP="00BE00C7">
            <w:pPr>
              <w:pStyle w:val="OutcomeDescription"/>
              <w:spacing w:before="120" w:after="120"/>
              <w:rPr>
                <w:rFonts w:cs="Arial"/>
                <w:b w:val="0"/>
                <w:lang w:eastAsia="en-NZ"/>
              </w:rPr>
            </w:pPr>
            <w:r w:rsidRPr="00BE00C7">
              <w:rPr>
                <w:rFonts w:cs="Arial"/>
                <w:b w:val="0"/>
                <w:lang w:eastAsia="en-NZ"/>
              </w:rPr>
              <w:t>It is expected that the senior team will remain in place at each facility. It is expected that existing staff will transfer to the new provider.</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purchaser has notified the relevant District Health Board prior to the provisional audit being undertaken.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BCM is absent, the clinical manager (CM) carries out all the required duties under delegated authority. During absences of key clinical staff, the clinical management is overseen by a registered nurse who is experienced in the sector and able to take responsibility for any clinical issues that may arise. Staff reported the current arrangements work well.</w:t>
            </w:r>
          </w:p>
          <w:p w:rsidR="00EB7645" w:rsidRPr="00BE00C7" w:rsidP="00BE00C7">
            <w:pPr>
              <w:pStyle w:val="OutcomeDescription"/>
              <w:spacing w:before="120" w:after="120"/>
              <w:rPr>
                <w:rFonts w:cs="Arial"/>
                <w:b w:val="0"/>
                <w:lang w:eastAsia="en-NZ"/>
              </w:rPr>
            </w:pPr>
            <w:r w:rsidRPr="00BE00C7">
              <w:rPr>
                <w:rFonts w:cs="Arial"/>
                <w:b w:val="0"/>
                <w:lang w:eastAsia="en-NZ"/>
              </w:rPr>
              <w:t>New Provider Interview July 2018:</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provider is not planning any staffing changes.  Existing cover arrangements for the day to day operations will remain in place, with access to regional operations managers. The prospective new owner understands the needs of the different certified service types and understands the Age Residential Related Care (ARRC) agreement, including in relation to responsibilities of the ARRC manager to meet section D17 of the agreement.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and clinical incidents including infections and falls.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quality, health and safety, RN and staff meetings. Staff reported their involvement in quality and risk management activities through audit activities and meeting attendance. Relevant corrective actions are developed and implemented to address any shortfalls. Resident and family satisfaction surveys are completed annually. The most recent survey showed dissatisfaction with the food service. The provider has employed a new cook with improved satisfaction of meals, confirmed in residents’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are current. The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BCM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r w:rsidRPr="00BE00C7">
              <w:rPr>
                <w:rFonts w:cs="Arial"/>
                <w:b w:val="0"/>
                <w:lang w:eastAsia="en-NZ"/>
              </w:rPr>
              <w:t>New Provider Interview July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transition phase, HLL policies and procedures will be introduced.  A new software system will be introduced to incorporate risk management including adverse event reporting, care planning and client management. This is anticipated to be within six months of the purchase.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HLL has a generic annual quality plan in place which outlines goals and objectives for the coming year.  Each site personalises this to their own facility.  The plan includes internal audits and improvement activities and projects.  The HLL quality plan will be introduced to managers at the proposed regional study days to occur during the transition period. Reporting against the quality plan occurs monthly through the operational management structure.  A key strategy to introduce a national clinical governance group is planned in the next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accident/incident form. A sample of incidents forms reviewed showed these were fully completed, incidents were investigated, action plans developed and actions followed-up in a timely manner.  Adverse event data is collated, analysed and reported to head office.</w:t>
            </w:r>
          </w:p>
          <w:p w:rsidR="00EB7645" w:rsidRPr="00BE00C7" w:rsidP="00BE00C7">
            <w:pPr>
              <w:pStyle w:val="OutcomeDescription"/>
              <w:spacing w:before="120" w:after="120"/>
              <w:rPr>
                <w:rFonts w:cs="Arial"/>
                <w:b w:val="0"/>
                <w:lang w:eastAsia="en-NZ"/>
              </w:rPr>
            </w:pPr>
            <w:r w:rsidRPr="00BE00C7">
              <w:rPr>
                <w:rFonts w:cs="Arial"/>
                <w:b w:val="0"/>
                <w:lang w:eastAsia="en-NZ"/>
              </w:rPr>
              <w:t>The BCM described essential notification reporting requirements, including for pressure injuries. She advised there has been one notification of a significant event made to the Ministry of Health, for a pressure injury,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New Provider Interview July 2018:</w:t>
            </w:r>
          </w:p>
          <w:p w:rsidR="00EB7645" w:rsidRPr="00BE00C7" w:rsidP="00BE00C7">
            <w:pPr>
              <w:pStyle w:val="OutcomeDescription"/>
              <w:spacing w:before="120" w:after="120"/>
              <w:rPr>
                <w:rFonts w:cs="Arial"/>
                <w:b w:val="0"/>
                <w:lang w:eastAsia="en-NZ"/>
              </w:rPr>
            </w:pPr>
            <w:r w:rsidRPr="00BE00C7">
              <w:rPr>
                <w:rFonts w:cs="Arial"/>
                <w:b w:val="0"/>
                <w:lang w:eastAsia="en-NZ"/>
              </w:rPr>
              <w:t>There are no known legislative or compliance issues impacting on the service. The prospective owner is aware of all current health and safety legislative requirements and the need to comply with these. The national quality manager interviewed was able to verbalise knowledge and understanding of actions to meet legislative and DHB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showed documentation of completed orientation and a performance review after a three-month period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There are sufficient trained and competent registered nurses who are maintaining their annual competency requirements to undertake interRAI assessments. Records reviewed demonstrated completion of the required training and completion of annual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interviewed supported this. Observations and review of four weeks of roster confirmed adequate staff cover has been provided, with staff replaced in any unplanned absence.  At least one staff member on duty has a current first aid certificate and there is 24 hour, seven days a week RN coverage in the hospital.</w:t>
            </w:r>
          </w:p>
          <w:p w:rsidR="00EB7645" w:rsidRPr="00BE00C7" w:rsidP="00BE00C7">
            <w:pPr>
              <w:pStyle w:val="OutcomeDescription"/>
              <w:spacing w:before="120" w:after="120"/>
              <w:rPr>
                <w:rFonts w:cs="Arial"/>
                <w:b w:val="0"/>
                <w:lang w:eastAsia="en-NZ"/>
              </w:rPr>
            </w:pPr>
            <w:r w:rsidRPr="00BE00C7">
              <w:rPr>
                <w:rFonts w:cs="Arial"/>
                <w:b w:val="0"/>
                <w:lang w:eastAsia="en-NZ"/>
              </w:rPr>
              <w:t>New Provider Interview July 2018:</w:t>
            </w:r>
          </w:p>
          <w:p w:rsidR="00EB7645" w:rsidRPr="00BE00C7" w:rsidP="00BE00C7">
            <w:pPr>
              <w:pStyle w:val="OutcomeDescription"/>
              <w:spacing w:before="120" w:after="120"/>
              <w:rPr>
                <w:rFonts w:cs="Arial"/>
                <w:b w:val="0"/>
                <w:lang w:eastAsia="en-NZ"/>
              </w:rPr>
            </w:pPr>
            <w:r w:rsidRPr="00BE00C7">
              <w:rPr>
                <w:rFonts w:cs="Arial"/>
                <w:b w:val="0"/>
                <w:lang w:eastAsia="en-NZ"/>
              </w:rPr>
              <w:t>The prospective owner intends to maintain the current staffing levels and skill mix. HLL has a documented policy based on the Guidelines for safe staffing level and indicators. The representative for HLL interviewed confirmed understanding of the required skill mix to ensure hospital and rest home care residents’ needs are met. HHL already provides the range of levels of care (Hospital - geriatric/medical, dementia, rest home and psychogeriatric services) and recognises the competencies and contractual obligations to be met when delivering these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records sampled for review. Clinical notes were current and integrated with the general practitioner or nurse practitioner entries and allied health service provider notes. This includes the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and are readily retrievable using a system in place. Residents’ records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 Prospective residents and/or families are encouraged to visit the facility prior to admission and meet with the clinical manager and/or the facility administrator. They are provided with written information about the service and the admission process. The service operates a waiting list for entry. The organisation seeks updates information from the NASC or the general practitioner/nurse practitioner for residents accessing respite care.</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Records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DHB’s `pink envelope` system to facilitate transfer of residents to and from acute services. There is open communication between all services, the resident and the family. At the time of transition between services, appropriate information, including the medication records is provided for the ongoing management of the resident. All referrals are documented in the progress records. A family members reported at interview of being kept well informed during the transfer of their relative to the DHB.</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is current and identifies all aspects of medicine management. A safe system for medicine management was observed on the day of the audit. The staff observed demonstrated good knowledge and had a clear understanding of their role and responsibilities related to each stage of medicine management. All staff who administer medicines are competent to perform the function they manage.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These medications are checked by a registered nurse against the prescription. All medication sighted were within current use by dates. Clinical pharmacist input is provided and six monthly audits are completed. The medicine records are reviewed electronically by the GP every three months or as required. All medication records have a photo of the resident to assist with the identification of the resident. Photographs are dated. Additional hard copy medication records for use of topical ointments or other non-regular medication is reviewed three monthly by the GP.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medication fridge are within the recommended range. The requirements for pro re nata (PRN) medicines is effectively met.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time of the audit. Appropriate processes are in place to ensure this is managed if required in a safe manner.</w:t>
            </w:r>
          </w:p>
          <w:p w:rsidR="00EB7645" w:rsidRPr="00BE00C7" w:rsidP="00BE00C7">
            <w:pPr>
              <w:pStyle w:val="OutcomeDescription"/>
              <w:spacing w:before="120" w:after="120"/>
              <w:rPr>
                <w:rFonts w:cs="Arial"/>
                <w:b w:val="0"/>
                <w:lang w:eastAsia="en-NZ"/>
              </w:rPr>
            </w:pPr>
            <w:r w:rsidRPr="00BE00C7">
              <w:rPr>
                <w:rFonts w:cs="Arial"/>
                <w:b w:val="0"/>
                <w:lang w:eastAsia="en-NZ"/>
              </w:rPr>
              <w:t>Any medication errors are reported to the clinical manager and recorded on an incident form. There is a process for comprehensive analysis of any medication errors, and compliance with this process was verified.</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used, were current and comply with guidelines and legislative requirements. There is a copy the standing orders attached to the side of each of the two medication trollies.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comply with current legislation and guidelines. The service operates with an approved food safety plan and registration issued 28 March 2018. Food temperatures, including for high risk items, are monitored appropriately and recorded as part of the plan. The chef interviewed has undertaken a safe food handling qualification with kitchen assistants at the main kitchen also completing relevant food handling training.  Staff assist at meal times with placing meals on the tables from the servery provided. Care staff are responsible for assisting residents with their meals and the kitchen hands clear the tables and wash the dishes after the two main meals. </w:t>
            </w:r>
          </w:p>
          <w:p w:rsidR="00EB7645" w:rsidRPr="00BE00C7" w:rsidP="00BE00C7">
            <w:pPr>
              <w:pStyle w:val="OutcomeDescription"/>
              <w:spacing w:before="120" w:after="120"/>
              <w:rPr>
                <w:rFonts w:cs="Arial"/>
                <w:b w:val="0"/>
                <w:lang w:eastAsia="en-NZ"/>
              </w:rPr>
            </w:pPr>
            <w:r w:rsidRPr="00BE00C7">
              <w:rPr>
                <w:rFonts w:cs="Arial"/>
                <w:b w:val="0"/>
                <w:lang w:eastAsia="en-NZ"/>
              </w:rPr>
              <w:t>The menu used is a four-week rotating menu that follows summer and winter patterns and has been reviewed by a dietitian within the last two years (February 2018). The menu is displayed daily in two areas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nutritional assessment is undertaken for each resident on admission to the facility and a dietary profile developed. The personal food preferences, any special diets and modified texture requirements are made known to the chef. Kitchen hands are guided by the information displaying the dietary needs of residents on a whiteboard in the kitchen to ensure the special needs of the residents are met. Additional food and nutritional snacks are available 24 hours a day. The families and residents interviewed reported they were satisfied with the food and fluid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no vacancy, the local NASC is advised to ensure the prospective resident and family are supported to find an appropriate care alternative. If the needs of a resident change and they are no longer suitable for the service offered, a referral for reassessment to the NASC is made and a new placement found, in consultation with the resident and family/whanau. There is a clause in the access agreement related to when a resident`s placement can be terminated. An electronic system is used as a data base for all residents’ information and this is well maintained by management at head office.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pressure injury, nutritional/dietary screening and depression scale, if required, as a means to identify any deficits and to inform care planning. The sample of person centred care plans reviewed had an integrated range of resident related information. All residents have current interRAI assessments completed by one of the two trained interRAI assessors on site.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Person centred care plans evidence service integration with progress records, activities records, medical and allied health professional`s notations clearly written, informative and relevant. Any change of care required is documented and verbally passed on to relevant staff. Residents and families reported participation in the development and ongoing evaluation of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The GP interviewed, verified that medical input is sought in a timely manner and that medical orders are followed. Care staff interviewed confirmed that care was provided as outlined in documentation. A range of equipment and resources was available, suited to the levels of care provided and in accordance with the individual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monthly activities plan (sighted) is developed based on the resident’s needs, interests, skill and strengths. A weekly plan is displayed in all service areas and in the individual resident’s rooms. The activities coordinator assists with the planned activities seven days a week with the programme reviewed by a diversional therapist. The coordinator covers all services and evaluates and reviews the individual resident’s participation in activities monthly.</w:t>
            </w:r>
          </w:p>
          <w:p w:rsidR="00EB7645" w:rsidRPr="00BE00C7" w:rsidP="00BE00C7">
            <w:pPr>
              <w:pStyle w:val="OutcomeDescription"/>
              <w:spacing w:before="120" w:after="120"/>
              <w:rPr>
                <w:rFonts w:cs="Arial"/>
                <w:b w:val="0"/>
                <w:lang w:eastAsia="en-NZ"/>
              </w:rPr>
            </w:pPr>
            <w:r w:rsidRPr="00BE00C7">
              <w:rPr>
                <w:rFonts w:cs="Arial"/>
                <w:b w:val="0"/>
                <w:lang w:eastAsia="en-NZ"/>
              </w:rPr>
              <w:t>The sighted programme covered cognitive, physical and social needs. The activities are modified to suit the individual needs and capabilities of each resident. There are group and individual activities provided. The aim is to engage residents’ interests and long-term memories. The activities coordinator interviewed reported that this gives the residents a sense of purpose and belonging and meaningful activities reflected normal life interests. The activities coordinator also reported that there is an element of flexibility to change activities based on the resident’s response. Photos of events are placed on the magnetic wall on a regular basis.</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provides easy access for using the total mobility service contracted for outings as needed and/or the company van from another facility.</w:t>
            </w:r>
          </w:p>
          <w:p w:rsidR="00EB7645" w:rsidRPr="00BE00C7" w:rsidP="00BE00C7">
            <w:pPr>
              <w:pStyle w:val="OutcomeDescription"/>
              <w:spacing w:before="120" w:after="120"/>
              <w:rPr>
                <w:rFonts w:cs="Arial"/>
                <w:b w:val="0"/>
                <w:lang w:eastAsia="en-NZ"/>
              </w:rPr>
            </w:pPr>
            <w:r w:rsidRPr="00BE00C7">
              <w:rPr>
                <w:rFonts w:cs="Arial"/>
                <w:b w:val="0"/>
                <w:lang w:eastAsia="en-NZ"/>
              </w:rPr>
              <w:t>Families are encouraged to join in the daily activities programme and special events are planned and family are invited. A church service is held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Family/whanau and residents reported that they enjoy the range and variety of planned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records. If any change is noted, it is reported to the registered nurse or the clinical manager.</w:t>
            </w:r>
          </w:p>
          <w:p w:rsidR="00EB7645" w:rsidRPr="00BE00C7" w:rsidP="00BE00C7">
            <w:pPr>
              <w:pStyle w:val="OutcomeDescription"/>
              <w:spacing w:before="120" w:after="120"/>
              <w:rPr>
                <w:rFonts w:cs="Arial"/>
                <w:b w:val="0"/>
                <w:lang w:eastAsia="en-NZ"/>
              </w:rPr>
            </w:pPr>
            <w:r w:rsidRPr="00BE00C7">
              <w:rPr>
                <w:rFonts w:cs="Arial"/>
                <w:b w:val="0"/>
                <w:lang w:eastAsia="en-NZ"/>
              </w:rPr>
              <w:t>Formal person-centred care plan evaluations occur every six months in conjunction with the six monthly interRAI reassessment or as residents` needs change. Evaluations are documented by the RN. Where progress is different from expected, the service responds by initiating changes to the plan of care. Examples of short term care plans were consistently reviewed for behaviour management, following falls, skin tears, a pressure injury and progress is evaluated as clinically indicated and according to the degree of risk noted during the assessment process. Other plans, such as wound management were evaluated each time the dressing was changed. Residents and families/representatives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nine contracted general practitioners and a nurse practitioner, residents may choose to use another medical practitioner. If the need for other non-urgent services are indicated or requested, the GP sends a referral to seek specialist input. Copies of referrals sighted in residents` records, included orthopaedic, eye clinic, mental health services for older persons, dietitian and other specialists. Referrals are followed up on a regular basis by the general practitioner. The resident and the family/representative are kept informed of the referral process, as verified by documentation and interviews. Any acute/urgent referrals are attended to immediately, such as sending the resident to the DHB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the required training. An external company is contracted to supply and manage all chemicals and cleaning products and they also provide relevant training for staff. Material safety data sheets were available where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30 June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is current as confirmed in documentation reviewed, interviews with maintenance personnel and observation of the environment.  The environment was hazard free, residents were safe, and independence is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staff confirmed they know the processes they should follow if any repairs or maintenance is required, that any requests are appropriately actioned and that they are happy with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New Provider Interview July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HLL has undertaken a period of due diligence, including building reports, in preparation for purchase of each facility.  There are presently no plans for any environmental changes in the facilities.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shared and ensuite toilets/showers.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These staff have completed the organisation’s required training as confirmed by cleaning staff interviewed and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external provider and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in June 1999.  A trial evacuation takes place six-monthly with a copy sent to the New Zealand Fire Service, the most recent being on 30 March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the full occupancy of residents. Water storage tanks are located around the complex, and there is a generator available if required.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are heated and ventilated appropriately.  Rooms have natural light, opening external windows. Heating is provided by electric panel heaters in residents’ rooms and heat pumps in the communal areas.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clinical manager and the organisation`s support management team. The infection control programme and manual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is an experienced registered nurse who is the designated IPC nurse, whose role and responsibilities are defined in a position description. Infection control matters, including surveillance results, are reported monthly to the clinical manager, and tabled at the quality/staff meeting. The quality committee includes representatives from all areas of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Signage at the reception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nurse (IPCN) has appropriate skills, knowledge and qualifications for the role, and has been in this role for three years. The IPCN has been in this position since March 2018 but has also been an ICN at a previous aged care facility. The ICN has undertaken MoH on-line infection prevention and control training and has attended additional training as verified in the training records. Well established local networks with the infection control team at the DHB are available and expert advice from the community laboratory is available if additional support/information is required. The IPCN has access to the residents’ records and to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IPCN confirmed the availability of resources to support the programme and any outbreak of an infection. There have been no infection outbreaks at this facility since the previous audit.  An outbreak management plan is developed and available for any event and ‘lockdown’ of the facility would be instigated and wings can be closed off respectively.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demonstrated good infection prevention and control techniques and awareness of standard precautions, such as hand washing and the use of personal protective equipment.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reflected the requirements of the infection prevention and control standard. Polices were last reviewed February 2018 and include appropriate referencing. Care delivery, cleaning, laundry and kitchen hand staff were observed following organisational policies, such as appropriate use of hand sanitises, good hand washing technique and use of personal protective equipment, such as hats, disposable aprons and gloves, as appropriate to the setting. Hand washing and sanitiser dispensers are readily available around the facility. Staff interviewed verified knowledge of infection control policies and practices.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infection prevention and control at orientation and ongoing education sessions. Education is provided by suitably qualified registered nurses and the infection control nurse. Content of training is documented and evaluated to ensure it is relevant, current and understood. A record of attendance is maintained. When an infection outbreak or an increase in infection incidence has occurred, there is evidence that additional staff education has been provided in response. Education for residents is generally on a one-to-one basis and has included reminders about handwashing, advice about remaining in their own room if they are unwell, increasing fluids and the cranberry fluid round observed each day in the afternoon.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on the infection clinical record. The infection prevention and control nurse reviews all reported infections and maintains a log for each type of infection. Monthly surveillance data is collated and analysed to identify any trends, possible causative factors and any required actions. Results of the surveillance programme are shared with staff via regular staff meetings and at staff handovers observed. Graphs are produced that identify trends for the current year, and comparisons against previous years and this is reported to the clinical manager who reports to the organisation`s head office. Data is benchmarked with other facilities. Benchmarking has provided reassurance that infection rates in the facility are below average for the sector.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her/his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two residents were using restraints and two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r w:rsidRPr="00BE00C7">
              <w:rPr>
                <w:rFonts w:cs="Arial"/>
                <w:b w:val="0"/>
                <w:lang w:eastAsia="en-NZ"/>
              </w:rPr>
              <w:t>New Provider Interview July 2018:</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HLL has policies and procedures in place to guide staff in the safe use of restraint and its minimisation as well as for use of enablers.  These policies are implemented across the group and a small number of restraint devices are approved for use following assessment.  The prospective provider is experienced in the requirements of the standard, as it pertains to aged residential care.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BCM, CM and all RN’s, are responsible for the approval of the use of restraints and the restraint processes. It was evident from review of restraint approval group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 undertakes the initial assessment with the restraint coordinator’s involvement, and input from the resident’s family/whānau/EPOA. The RN interviewed/restraint coordinator described the documented process.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(e.g., the use of sensor mats and 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at the restraint approval group meetings.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committee undertakes a six-monthly review of all restraint use which includes all the requirements of this Standard. Six monthly restraint meetings and reports are completed, and individual use of restraint use is reported to the quality and staff meetings.  Minutes of meeting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A six-monthly internal audit that is carried out also informs these meetings. Any changes to policies, guidelines, education and processes are implemented if indicated. Data reviewed, minutes and interviews confirmed that the use of restraint has been reduced by one over the past six months.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Palmerston Manor Lifecare</w:t>
    </w:r>
    <w:bookmarkEnd w:id="58"/>
    <w:r>
      <w:rPr>
        <w:rFonts w:cs="Arial"/>
        <w:sz w:val="16"/>
        <w:szCs w:val="20"/>
      </w:rPr>
      <w:tab/>
      <w:t xml:space="preserve">Date of Audit: </w:t>
    </w:r>
    <w:bookmarkStart w:id="59" w:name="AuditStartDate1"/>
    <w:r>
      <w:rPr>
        <w:rFonts w:cs="Arial"/>
        <w:sz w:val="16"/>
        <w:szCs w:val="20"/>
      </w:rPr>
      <w:t>30 July 2108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