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Maygrove Care Limited - Maygrove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Maygrove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Maygrove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July 2018</w:t>
      </w:r>
      <w:bookmarkEnd w:id="7"/>
      <w:r w:rsidRPr="009418D4">
        <w:rPr>
          <w:rFonts w:cs="Arial"/>
        </w:rPr>
        <w:tab/>
        <w:t xml:space="preserve">End date: </w:t>
      </w:r>
      <w:bookmarkStart w:id="8" w:name="AuditEndDate"/>
      <w:r w:rsidR="00A4268A">
        <w:rPr>
          <w:rFonts w:cs="Arial"/>
        </w:rPr>
        <w:t>24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Maygrove Care Limited known as Maygrove Village provides rest home and hospital level care for up to 50 residents. The service is operated by Maygrove Care Limited and the care unit is managed by a hospital manager who is assisted by the clinical manager. Both managers are registered nurses with current practising certificates and have been in their roles for three years. There is a village on the same site which is not included in this audit.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 xml:space="preserve">This audit identified four areas requiring improvement relating to evaluation of quality data, medication management and evaluation of effectiveness of pain relief, which was also identified at the previous audit. Improvements have been made to short term care planning, addressing the other area requiring improvement at the previous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formal interpreter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and identifies required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is coordinated in a manner that promotes continuity in service delivery and promotes a team approach to care delivery.  The processes for assessment, planning, provision of care, transfer and review are provided within time frames that safely meet the needs of the residents and contractual requirements.</w:t>
      </w:r>
    </w:p>
    <w:p w:rsidRPr="00A4268A" w:rsidP="00621629">
      <w:pPr>
        <w:spacing w:before="240" w:line="276" w:lineRule="auto"/>
        <w:rPr>
          <w:rFonts w:eastAsia="Calibri"/>
        </w:rPr>
      </w:pPr>
      <w:r w:rsidRPr="00A4268A">
        <w:rPr>
          <w:rFonts w:eastAsia="Calibri"/>
        </w:rPr>
        <w:t xml:space="preserve">All residents have interRAI assessments completed and individualised care plans related to this programme.  When there are changes to the resident’s needs, a short-term plan is developed and integrated into a long-term plan, as needed.   All care plans are evaluated at least six monthly.  </w:t>
      </w:r>
    </w:p>
    <w:p w:rsidRPr="00A4268A" w:rsidP="00621629">
      <w:pPr>
        <w:spacing w:before="240" w:line="276" w:lineRule="auto"/>
        <w:rPr>
          <w:rFonts w:eastAsia="Calibri"/>
        </w:rPr>
      </w:pPr>
      <w:r w:rsidRPr="00A4268A">
        <w:rPr>
          <w:rFonts w:eastAsia="Calibri"/>
        </w:rPr>
        <w:t>The service provides planned activities meeting the needs of the residents as individuals and in group settings.  Families reported that they are encouraged to participate in the activities of the facility and those of their relatives.</w:t>
      </w:r>
    </w:p>
    <w:p w:rsidRPr="00A4268A" w:rsidP="00621629">
      <w:pPr>
        <w:spacing w:before="240" w:line="276" w:lineRule="auto"/>
        <w:rPr>
          <w:rFonts w:eastAsia="Calibri"/>
        </w:rPr>
      </w:pPr>
      <w:r w:rsidRPr="00A4268A">
        <w:rPr>
          <w:rFonts w:eastAsia="Calibri"/>
        </w:rPr>
        <w:t xml:space="preserve">The onsite village kitchen provides and caters for residents with food available 24 hours of the day and specific dietary likes and dislikes accommodated. The service has a six-week rotating menu which has been approved by a registered dietitian. Residents’ nutritional requirements are met.   </w:t>
      </w:r>
    </w:p>
    <w:p w:rsidRPr="00A4268A" w:rsidP="00621629">
      <w:pPr>
        <w:spacing w:before="240" w:line="276" w:lineRule="auto"/>
        <w:rPr>
          <w:rFonts w:eastAsia="Calibri"/>
        </w:rPr>
      </w:pPr>
      <w:r w:rsidRPr="00A4268A">
        <w:rPr>
          <w:rFonts w:eastAsia="Calibri"/>
        </w:rPr>
        <w:t xml:space="preserve">A medicine administration system was observed at the time of audit.  Medication competency for all staff administering medication is completed annually.  There is an implemented process for comprehensive analysis of any medication errors.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policies and procedures related to safe restraint practices. No enablers were in use at the time of audit. There were 21 restraints in use. (Four residents had two restraints one bedside rail and one chair lap belt).  A comprehensive assessment, approval and monitoring process with regular reviews occurs.  Policy identifies that the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completed every month.  Results of surveillance are reviewed to assist in minimising and reducing the risk of infection.  The infection surveillance results are reported back to staff and residents, where appropriate,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understood the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six complaints have been received over the past year and that actions taken, through to an agreed resolution, are documented and completed within the timeframes.  Action plans show any required follow up and improvements have been made where possible.  The hospital manager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although reported this was rarely required due to all residents able to speak English.  There are four residents with a significant sensory impairment and appropriate equipment and resources were sighted and highlighted in residents’ long-term care plans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business plans, which are reviewed annually, outline the purpose, values, direction and goals of the organisation. The documents describe annual and longer term objectives and the associated operational plans. A sample of monthly reports to one director, who then takes the information to the board, showed adequate information to monitor performance is reported, including financial performance, occupancy, environment and equipment, staffing, staff education, human resources management including annual appraisals, emerging risks and issues. The hospital manager has a meeting with the director at least once a week and meeting topics are kept in a diary.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hospital manager who holds relevant qualifications and is supported by a clinical manager who is also a registered nurse. Both managers have been in their positions for three years. Responsibilities and accountabilities are defined in their job descriptions and individual employment agreements.  Both managers confirmed their knowledge of the sector, regulatory and reporting requirements and maintains currency through regular ongoing clinical and management related education such as attendance at the New Zealand Aged Care Association meetings, Waitemata District Health Board (WDHB) education and meetings and in-house education and competencies related to their roles.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an Age-Related Residential Care contract with WDHB for rest home, hospital and respite care. This allows palliative care to be undertaken. Forty-nine residents were receiving services under the contract (two rest home level care and 47 hospital level care)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recording and collation of clinical incidents including infections, wounds and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committee meeting minutes reviewed confirmed regular review and analysis of quality indicators. There are specific committees such as infection control, health and safety and restraint that report findings to the quality meeting and to the director as required. Whilst this information is recorded, graphed and placed on the staff notice board there is no documented evidence that it is discussed at staff meetings. Staff reported their involvement in quality and risk management activities through audit activities, and the implementation of corrective actions. Relevant corrective actions are developed and implemented to address any shortfalls. However, evaluation of corrective actions implemented are not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annually. The most recent survey (April 2017) gained a 95.5% overall satisfaction rating. Issues identified have been addressed. One example of a corrective action being undertaken as a result of satisfaction survey results relates to weekend cleaning were a family member identified that the facility cleanliness was less than during the week. This has resulted in a change to the roster for the days cleaning is undertaken and now includes a dedicated cleaner on Saturdays and allocated cleaning hours for the laundry person on a Sunday. A food satisfaction survey (January 2018) identified that residents were not always being given a hot wash towel prior to every meal. Staff were reminded about this and no further concerns have been raised. One resident stated they did not like the evening meal but when this was raised with residents they could not itemise any specific meals. There is a communication book for meals and any concerns raised are discussed at a weekly meeting with the hospital manager and the village kitchen manager. No complaints related to meal services arose during resident and family interviews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Policies sighted were up to date.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champion, hospital manager and clinical manager described the processes for the identification, monitoring, review and reporting of risks and development of mitigation strategies. The manager is familiar with the Health and Safety at Work Act (2015) and has implemented requirements. An up to date risk register is in place which includes a hazardous substance register. Any new hazards are discussed and managed by the health and safety committee and entered into the risk register as necessary.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quality committee and the director. Staff confirm they are made aware of any corrective actions required to be put into place at shift handover. (Refer comments in 1.2.3.6 related to evaluation of outcomes). </w:t>
            </w:r>
          </w:p>
          <w:p w:rsidR="00EB7645" w:rsidRPr="00BE00C7" w:rsidP="00BE00C7">
            <w:pPr>
              <w:pStyle w:val="OutcomeDescription"/>
              <w:spacing w:before="120" w:after="120"/>
              <w:rPr>
                <w:rFonts w:cs="Arial"/>
                <w:b w:val="0"/>
                <w:lang w:eastAsia="en-NZ"/>
              </w:rPr>
            </w:pPr>
            <w:r w:rsidRPr="00BE00C7">
              <w:rPr>
                <w:rFonts w:cs="Arial"/>
                <w:b w:val="0"/>
                <w:lang w:eastAsia="en-NZ"/>
              </w:rPr>
              <w:t>The hospital manager described essential notification reporting requirements, including for pressure injuries.  They advised there have been two section 31 notifications of significant events made to the Ministry of Health since the previous audit. In December 2016 a police investigation commenced related to a resident’s missing jewellery. This was closed in July 2017 when the jewellery was found at the public hospital in a ward safe. In April 2018, a sudden death following a chocking incident was also notified using a section 31 process. The facility undertook a full investigation and it was deemed that all correct actions had been taken. The resident’s family were in attendance at the time this occurred, and they were happy with the actions taken. Documentation includes the ambulance care summary to support the facility’s findings.  Both instances are clearly documented to show the actions taken.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coroner’s inquests, issues-based audits or public health notifications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three-months and then annual appraisals are undertaken.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There are five trained and competent registered nurses who are maintaining their annual competency requirements to undertake interRAI assessments. Records reviewed demonstrated completion of the required training and completion of the annual interRAI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InterRAI acuity data reports identify staffing ratios meet the needs of residents. The facility adjusts staffing levels to meet the changing needs of residents.  An afterhour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At least one staff member on duty has a current first aid certificate and there is 24//7 RN coverage.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who have specific responsibilities related to restraint, infection control and interRAI have identified time to undertake these additional tasks. Registered nurses work either a 7.75 hour shift for mornings and afternoons and an 8.25 hour night shift seven days a week. Caregivers work between six and 7.5 hours per shift. There is a dedicated activities coordinator who works from 9 am to 3.30 pm Monday to Friday. Laundry staff work 6.30 am to 3 pm seven days a week. Cleaning staff work either 7 am to 3 pm or 8 am to 4 pm Monday to Friday and one staff member works 7 am to 3 pm Saturday.  Administration staff work 9 am to 4 pm three days a week and 9 am to 3 pm one day a week. The administration assistant works 9 am to 4 pm Monday to Friday.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however at the time of audit, the medication trolley was observed to be left unattended during two separate medication rounds by the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when administering to residents however when medication is received initially from the pharmacy the medication is not reconciled.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was consistently recorded on the medicine chart.  Standing orders are used however do not comply with the facility’s medication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five residents who self-administer medications at the time of audit. Appropriate processes are not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the village kitchen manager, three other cooks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kitchen observed and sighted at the time of audit appeared clean and tidy.   The service operates with a food safety plan with grade pending; registration was issued by the Auckland Council which expires 29 June 2019.  Food temperatures, including for high risk items, are monitored appropriately and recorded as part of the plan. The kitchen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and satisfaction surveys.   Residents were seen to be given sufficient time to eat their meal in an unhurried fashion and those requiring assistance had this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short and long 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The previous audit identified an area for improvement to ensure that short term care plans are consistently developed when residents have changing care needs including infections and new episodes of pain.   The corrective action is now addressed, and records were available to demonstrate that residents commenced on a new pain medication or antibiotic due to an infection have an initial short-term plan developed.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however, not all residents had documentation to show that their pain, having had pro re nata medication had been evaluated (see criterion 1.3.8.2).  One GP interviewed, verified that medical input is sought in a timely manner, that medical orders are followed, and care is excellent.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and four regular community volunteers.  The activities co-ordinator supports the residents from 10 am – 3 pm Monday to Friday.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families/whānau are involved in evaluating and improving the programme through the weekly residents’ ‘coffee group’ and satisfaction surveys. Residents interviewed confirmed they find the programme interactive.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wounds and infections.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audit identified an area for improvement to ensure that pain assessments and evaluations are consistently undertaken when residents are given additional medications for episodes of pain. The corrective action has been partially addressed but further improvements are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16 June 2019) is publicly displayed.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and includes urinary tract infections, respiratory tract infections, skin, wound, eye, gastro enteritis and other infections.  The IPC coordinator/registered nurse reviews all reported infections, and these were documented.  New infections and any required management plan are discussed at handover, to ensure early intervention occurs and short-term care plans are developed.   In April of 2018, 36 residents and 24 staff consented and had the flu vaccine. </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made available for staff to read and sign to acknowledge they have read the information on the staff room notice board.  The manager interviewed stated that this information is also discussed at handover; however, no evidence of this was sighted at the time of audit.  Trends are identified from the past year and this is reported to the quality committee. Staff meeting minutes do not show that this information is verbally communicated to staff or that monthly surveillance is evaluated or trended (Refer criterion 1.2.3.6).  The facility has had a total of 115 infections since January 2018.  The residents’ files reviewed highlighted short term and long-term care planning to reduce and minimise the risk of infections.  Care staff interviewed demonstrated knowledge of residents who have a higher risk of infections and the interventions required.  Benchmarking does not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17 residents were using restraints. Four of the 17 had two restraints one being a bedside rail and one a chair lap belt. No residents were using enablers.  Policy describes enablers as the least restrictive method of restraint used voluntarily at residents’ requests to enable independence and safety.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occurs in consultation with family and the resident. This was evident on review of the restraint approval group minutes, files reviewed, and from interview with staff. Staff competencies are undertaken annually for the safe use of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8092"/>
        <w:gridCol w:w="1537"/>
        <w:gridCol w:w="14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data are collected, analysed and reported at the quality committee meetings. Specific data related to incident and accidents, complaints, infection control, health and safety and restraint are graphed and trended against data from the previous year for the same month. If there is a marked increase in the data collected, management confirmed this is addressed. However, at the time of audit, no documented outcomes were sighted to show if the corrective actions put in place improved services. One example relates to a quality goal of decreasing falls by 8% over a 12-month period. All actions are shown, and the outcome was marked with the word ‘achieved’. (At the time of audit all data was written up and showed that over 12 months falls had decreased from 249 to 210 which is a 17.5% decrease).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graphed quality data is placed on the staff notice board but staff meeting minutes do not identify that the results are discussed. During staff interviews they acknowledged that they knew where to find the data and confirmed they sign to say they have read the information.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improvements and quality data trending outcomes are not evaluated to identify if the corrective actions put in place have improved services. Staff meeting minutes do not show that quality data information is verbally communicated or discussed with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quality improvements are evaluated, and that quality data findings and trends are discussed with staff at meetings.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interviewed knew the residents well.  All GP reviews were up to date including medication reviews on the medication electronic device.  All changes in medications are discussed at staff handover.  Staff interviewed could recall the proper procedures required when administering and supporting residents with medication and this was also observed at the lunch time medication round by a registered nurse. However, when medication is received by the facility from the pharmacy via blister packs the medication is not reconciled.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interviewed could recall the safety procedures required when administering and supporting residents with medication, however on two occasions during the audit the medication trolley was observed to be unattended. This occurred once when initially being shown around the facility and the second time when observing the registered nurse, at frequent intervals while administering lunchtime medications to the residents.   The medication trolley was locked at these times; however, there were liquid filled medication bottles located on the side of the trolley and the electronic device was open identifying the resident and their prescribed medication.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policy for standing orders which identifies annual review and updates of all standing orders by the attending GP.  All five GP’s have access to the medication electronic device, however it was identified by a registered nurse, that a standing order medication which is rarely utilised since the implementation of the electronic device, had been administered one day ago. This standing order had not been updated, reviewed or signed by the GP since 2016.</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Reconciliation of medications is not occurring when new medications supplies are delivered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trolley is not always supervised during the medication round.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standing orders for one GP does not reflect the medication policy which states annual reviews.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medication practices meet the medication guidelines for safe medication practice.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five residents had an assessment completed to assess for competency of self-administration of medication.  The assessment was signed by the admitting RN and GP at the time, and subsequent assessments have been completed three-monthly.  Observation on day one of the audit, showed that three residents do not have a key for the locked drawer and one resident does not have access to a locked draw in their bedroom to safely store their inhalers and eye drop medication. In discussions with the residents and staff it was evident that the residents are competent in the self-administering of their medication and evidence was provided to show three-monthly GP reviews that included review of the resident’s medication.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five residents who are self-administering medication do not have a key for the locked drawer and one resident does not have access to a locked draw to safely store their medication.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safe self-administration of medicines is maintained.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knew the residents well and when interviewed could recall the proper review procedures required when administering and supporting residents with medication.  The clinical manager interviewed stated that residents with pain and outcomes for the residents are discussed verbally at handover.  Residents and family members interviewed stated that they were very happy with the care provided.   An audit completed for the week of the 24 July 2018 where 88 episodes of pro re nata pain medication was administered, identified that there was an 87.5 percent compliance to show that residents administered pro re nata medications had had their pain evaluated for effectiveness.  It was documented in the corrective action that the clinical manager spoke to staff, however there was no evidence to show when this occurred and how many staff were present at the discussion.  Evidence at the time of audit was provided to show three-monthly GP reviews that included the resident’s pain and medication reviews were up to date and that all residents commenced on a new pain medication have an initial assessment to show effect. Despite this, for the month of July, there was no evidence documented in the medication electronic device, Staff handover notes or the resident’s progress notes to show evaluation of pro re nata pain relief administered to residents. For example, for the 23 July 2018, the medication electronic device showed that nine residents required a total of 17 prescribed pro re nata medications with no evidence of review and/or evaluation of the medications’ effect.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documented evaluation of outcome and effect of pro re nata pain relief given.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pain relief administered as prescribed has an outcome documented to identify the effectiveness of the medication given.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Maygrove Care Limited - Maygrove Village</w:t>
    </w:r>
    <w:bookmarkEnd w:id="58"/>
    <w:r>
      <w:rPr>
        <w:rFonts w:cs="Arial"/>
        <w:sz w:val="16"/>
        <w:szCs w:val="20"/>
      </w:rPr>
      <w:tab/>
      <w:t xml:space="preserve">Date of Audit: </w:t>
    </w:r>
    <w:bookmarkStart w:id="59" w:name="AuditStartDate1"/>
    <w:r>
      <w:rPr>
        <w:rFonts w:cs="Arial"/>
        <w:sz w:val="16"/>
        <w:szCs w:val="20"/>
      </w:rPr>
      <w:t>24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