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Sunrise Healthcare Limited - Jervois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Sunrise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Jervois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June 2018</w:t>
      </w:r>
      <w:bookmarkEnd w:id="7"/>
      <w:r w:rsidRPr="009418D4">
        <w:rPr>
          <w:rFonts w:cs="Arial"/>
        </w:rPr>
        <w:tab/>
        <w:t xml:space="preserve">End date: </w:t>
      </w:r>
      <w:bookmarkStart w:id="8" w:name="AuditEndDate"/>
      <w:r w:rsidR="00A4268A">
        <w:rPr>
          <w:rFonts w:cs="Arial"/>
        </w:rPr>
        <w:t>7 June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Jervois rest home and hospital is one of three facilities owned by Sunrise Healthcare.  The facility provides rest home and hospital level of care for up to 46 residents.  On the day of the audit there were 38 residents. </w:t>
      </w:r>
    </w:p>
    <w:p w:rsidRPr="00A4268A">
      <w:pPr>
        <w:spacing w:before="240" w:line="276" w:lineRule="auto"/>
        <w:rPr>
          <w:rFonts w:eastAsia="Calibri"/>
        </w:rPr>
      </w:pPr>
      <w:r w:rsidRPr="00A4268A">
        <w:rPr>
          <w:rFonts w:eastAsia="Calibri"/>
        </w:rPr>
        <w:t xml:space="preserve">A general manager of operations is responsible for the daily operations of the service.  She is supported by a clinical manager.  </w:t>
      </w:r>
    </w:p>
    <w:p w:rsidRPr="00A4268A">
      <w:pPr>
        <w:spacing w:before="240" w:line="276" w:lineRule="auto"/>
        <w:rPr>
          <w:rFonts w:eastAsia="Calibri"/>
        </w:rPr>
      </w:pPr>
      <w:r w:rsidRPr="00A4268A">
        <w:rPr>
          <w:rFonts w:eastAsia="Calibri"/>
        </w:rPr>
        <w:t>The residents and relatives spoke positively about the care including the meals and activities provided.</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 </w:t>
      </w:r>
    </w:p>
    <w:p w:rsidRPr="00A4268A">
      <w:pPr>
        <w:spacing w:before="240" w:line="276" w:lineRule="auto"/>
        <w:rPr>
          <w:rFonts w:eastAsia="Calibri"/>
        </w:rPr>
      </w:pPr>
      <w:r w:rsidRPr="00A4268A">
        <w:rPr>
          <w:rFonts w:eastAsia="Calibri"/>
        </w:rPr>
        <w:t xml:space="preserve">This certification audit identified areas for improvement around corrective actions, essential notifications, training attendance, care plan interventions and referrals.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Health and Disability Commissioner (HDC) Code of Health and Disability Services Consumers’ Rights (the Code).  Residents and families are informed regarding the Code and staff receive training about the Code.  </w:t>
      </w:r>
    </w:p>
    <w:p w:rsidRPr="00A4268A">
      <w:pPr>
        <w:spacing w:before="240" w:line="276" w:lineRule="auto"/>
        <w:rPr>
          <w:rFonts w:eastAsia="Calibri"/>
        </w:rPr>
      </w:pPr>
      <w:r w:rsidRPr="00A4268A">
        <w:rPr>
          <w:rFonts w:eastAsia="Calibri"/>
        </w:rPr>
        <w:t xml:space="preserve">The personal privacy of residents is respected.  Care plans reference the individual values and beliefs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general manager and clinical manager are responsible for day-to-day operations.  Goals are documented for the service with evidence of regular reviews.  A quality and risk management programme is being established.  Data collected is analysed and shared with staff.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The education and training plan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A registered nurse assesses and plans residents' needs, outcomes and goals with the resident and/or family/whānau input.  Care plans reviewed in resident records demonstrated service integration and resident/relative input into care.  Resident files included medical notes by the contracted GP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are responsible for the administration of medicines and complete annual education and medication competencies.  The medicine charts reviewed meet prescribing requirements and were reviewed at least three monthly.     </w:t>
      </w:r>
    </w:p>
    <w:p w:rsidRPr="00A4268A" w:rsidP="00621629">
      <w:pPr>
        <w:spacing w:before="240" w:line="276" w:lineRule="auto"/>
        <w:rPr>
          <w:rFonts w:eastAsia="Calibri"/>
        </w:rPr>
      </w:pPr>
      <w:r w:rsidRPr="00A4268A">
        <w:rPr>
          <w:rFonts w:eastAsia="Calibri"/>
        </w:rPr>
        <w:t xml:space="preserve">A diversional therapist oversees the activity team and coordinates the activity programme for the residents.  The programme includes community visitors and outings, entertainment and activities that meet the individual recreational, physical, cultural and cognitive abilities and preferences for each resident group.  Residents and families report satisfaction with the activities programme.  </w:t>
      </w:r>
    </w:p>
    <w:p w:rsidRPr="00A4268A" w:rsidP="00621629">
      <w:pPr>
        <w:spacing w:before="240" w:line="276" w:lineRule="auto"/>
        <w:rPr>
          <w:rFonts w:eastAsia="Calibri"/>
        </w:rPr>
      </w:pPr>
      <w:r w:rsidRPr="00A4268A">
        <w:rPr>
          <w:rFonts w:eastAsia="Calibri"/>
        </w:rPr>
        <w:t>Residents' food preferences and dietary requirements are identified at admission and all meals are cooked on-site.  Food, fluid, and nutritional needs of residents are provided in line with recognised nutritional guidelines and additional requirements/modified needs were being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There is a mix of ensuite and communal toilet/shower facilities.  Documented policies and procedures for the cleaning service is implemented with appropriate monitoring systems in place.  All personal clothing and linen is laundered off-site.  There is an emergency management plan in place and adequate civil defence supplies in the event of an emergency.  There is an approved evacuation scheme and emergency supplies for at least three days.  There is at least one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Staff receive training around restraint minimisation and the management of challenging behaviour.  The service has appropriate procedures for the safe assessment and review of restraint and enabler use.  During the audit there were no residents using a restraint or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(currently the clinical manager) is responsible for coordinating education and training for staff.  The infection control coordinator has completed on-line training.  There is a suite of infection control policies and guidelines to support practice.  The infection control coordinator uses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70"/>
        <w:gridCol w:w="1280"/>
        <w:gridCol w:w="99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Jervois Residential Care policies and procedures are being implemented that align with the requirements of the Code of Health and Disability Services Consumers’ Rights (the Code).  Families and residents are provided with information on admission, which includes information about the Code.  Staff receive training about resident rights at orientation and as part of the in-service programme (link 1.2.7.5).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seven care staff (three caregivers, one clinical manager/registered nurse (RN), one staff RN, two activities staff) confirmed their understanding of the Code.  Seven residents (three hospital including one young person with a disability and four rest home) and three relatives (one hospital and two rest home) interviewed, confirmed that staff respect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consents were obtained on admission as sighted in seven of seven resident files reviewed (three rest home and four hospital including one younger person).  Specific consents were on resident files as applicable such as influenza vaccines.  Resuscitation status and advance directives were appropriately signed.  Medically indicated not for resuscitation status (as applicable) were in place for residents deemed   unable to make an informed choice.  Copies of enduring power of attorney (EPOA) were present and activated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informed consent policy is implemented.  Systems are in place to ensure residents, and where appropriate their family/whānau, are provided with appropriate information to make informed choices and informed decisions.  The care staff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All residents’ files reviewed had signed admission agreements on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One resident interviewed, indicated that he advocates for the residents.  Discussions with relatives confirmed the service provided opportunities for the family/EPOA to be involved in decisions.  The resident files sampled included information on residents’ family/whānau and chosen social networks. </w:t>
            </w:r>
          </w:p>
          <w:p w:rsidR="00EB7645" w:rsidRPr="00BE00C7" w:rsidP="00BE00C7">
            <w:pPr>
              <w:pStyle w:val="OutcomeDescription"/>
              <w:spacing w:before="120" w:after="120"/>
              <w:rPr>
                <w:rFonts w:cs="Arial"/>
                <w:b w:val="0"/>
                <w:lang w:eastAsia="en-NZ"/>
              </w:rPr>
            </w:pPr>
            <w:r w:rsidRPr="00BE00C7">
              <w:rPr>
                <w:rFonts w:cs="Arial"/>
                <w:b w:val="0"/>
                <w:lang w:eastAsia="en-NZ"/>
              </w:rPr>
              <w:t>The HDC advocacy service is an invited speaker at resident/family meetings and staff training on the Code and the role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at the entrance to the facility.  Information about complaints is provided on admission.  Interviews with residents and relatives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includes complaints received, dates and actions taken.  The general manager signs off each complaint when it is closed.  There is evidence of lodged complaints being discussed in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Three complaints have been received in 2018 (year-to-date).  All three complaints were reviewed and indicated that complaints are being managed in a timely manner, meeting requirements determined by HDC.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There is the opportunity to discuss aspects of the Code during the admission process.  Residents and relatives interviewed confirmed that information had been provided to them around the Code.  Large print posters of the Code are displayed throughout the facility.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were areas that support personal privacy for residents.  During the audit staff were observed to be respectful of residents’ privacy by knocking on doors prior to entering resident rooms.  Three rooms are double rooms with a privacy curtain to separate the bedrooms.  Residents and families have consented to sharing a room.</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could describe definitions around abuse and neglect that aligned with policy.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preferences are identified during the admission and care planning process and this includes family involvement.  Interviews with residents confirmed their values and beliefs were considered.  Interviews with caregivers described how choice is incorporated into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Māori health plan policy for the organisation provides recognition of Māori values and beliefs.  Family/whānau involvement is encouraged in assessment and care planning, and visiting is encouraged.   </w:t>
            </w:r>
          </w:p>
          <w:p w:rsidR="00EB7645" w:rsidRPr="00BE00C7" w:rsidP="00BE00C7">
            <w:pPr>
              <w:pStyle w:val="OutcomeDescription"/>
              <w:spacing w:before="120" w:after="120"/>
              <w:rPr>
                <w:rFonts w:cs="Arial"/>
                <w:b w:val="0"/>
                <w:lang w:eastAsia="en-NZ"/>
              </w:rPr>
            </w:pPr>
            <w:r w:rsidRPr="00BE00C7">
              <w:rPr>
                <w:rFonts w:cs="Arial"/>
                <w:b w:val="0"/>
                <w:lang w:eastAsia="en-NZ"/>
              </w:rPr>
              <w:t>As per the Māori health plan policy, the resident’s care plan is expected to indicate cultural, religious and spiritual beliefs.  One resident at the facility identifies as Māori.  He was observed listening to te reo Māori on his television and reported that he also speaks te reo Māori.  Pictures of whānau were posted in his room.  He reported that he advocates for the other residents.  There was no indication in his care plan that this resident identified with his Māori culture (link 1.3.5.2).  The resident was interviewed and reported that his cultural needs were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beliefs or values are discussed and incorporated into the care plan, evidenced in six of the seven care plans reviewed (link 1.3.5.2).  Six monthly care plan reviews assess if needs are being met.  Family are invited to attend.  Discussions with relatives confirmed that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Monthly staff meetings include discussions around professional boundaries and concerns as they arise.  Three managers (general manager, clinical manager, facility manager) provided guidelines and examples of mentoring for specific situations.  Interviews with the managers and care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promotes evidence-based practice and encourages good practice.  Policies and procedures are aligned with current accepted best practice.  The content of policy and procedures are sufficiently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nursing staff are on-site 24 hours a day.  The general practitioner (GP) reviews residents identified as stable every three months, with more frequent visits for those residents whose condition is not deemed stable.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support from the district health board, which includes visits from the mental health team and nurse specialist visits.  Physiotherapy services are provided on-site, three hours per week with the support of a physiotherapy assistant for four to six hours a day, five days a week.  All new residents are assessed by the physiotherapist.  Transfer plans are developed and posted in each resident’s room.  The falls prevention programme includes implementing aspects of the Otago falls prevention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links with the local community and encourages residents to remain independent.  Activities staff lead group activities and also provide one-on-one visits with residents.  Residents who are able, are encouraged and supported to remain active in their communities.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 data is collected and collated.  Action plans are implemented to minimise risk, and processes are reviewed and evaluated.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All 15 adverse events reviewed met this requirement when notification was appropriate.  Family members interviewed confirmed they are notified following a change of health status of their family member.  Monthly resident meetings provide a venue where issues can be addressed.  </w:t>
            </w:r>
          </w:p>
          <w:p w:rsidR="00EB7645" w:rsidRPr="00BE00C7" w:rsidP="00BE00C7">
            <w:pPr>
              <w:pStyle w:val="OutcomeDescription"/>
              <w:spacing w:before="120" w:after="120"/>
              <w:rPr>
                <w:rFonts w:cs="Arial"/>
                <w:b w:val="0"/>
                <w:lang w:eastAsia="en-NZ"/>
              </w:rPr>
            </w:pPr>
            <w:r w:rsidRPr="00BE00C7">
              <w:rPr>
                <w:rFonts w:cs="Arial"/>
                <w:b w:val="0"/>
                <w:lang w:eastAsia="en-NZ"/>
              </w:rPr>
              <w:t>There is an interpreter policy in place and contact details of interpreters were available.  Families and staff are used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Jervois Residential Care provides care for up to 46 residents.  This is one of three aged care facilities owned and managed by Sunrise Healthcare.  The service is certified to provide hospital (medical, geriatric) and rest home level care.  All resident rooms are dual-purpose.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38 residents.  This included 16 rest home level and 22 hospital level residents.  In addition to the aged residential care contract, one resident was on the young persons with a disability (YPD)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2018 business plan is documented for the service.  The quality and risk management plan (2018) identifies a vision, mission and eight objectives with anticipated outcomes.  Business goals and quality/risk objectives are regularly reviewed and discussed at the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is an RN who provides oversight to all three Sunrise Healthcare aged care facilities.  She has worked as a manager in aged care for the past five years with the last three years with Sunrise Healthcare where she is on-site approximately one – two days a week.  She is supported by a full-time clinical manager/RN.  Both the general manager and the clinical manager have maintained a minimum of eight hours of professional development relating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manager/RN covers during the absence of the general manager.  She has been in her role since December 2017, has a post-grad cert and is a New Zealand trained RN.  She has been a RN at Jervois for the last four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system is being established.  Quality and risk performance is reported.  Discussions with the general manager, clinical manager and staff (seven care staff, one cleaner, one cook, one maintenance) reflected staff involvement in quality and risk management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meetings are held each month.  Minutes are maintained.  Annual resident satisfaction surveys were last completed in March/April 2018.  Results have been collated and discussed with staff.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adhering to relevant standards - including those standards relating to the Health and Disability Services (Safety) Act 2001.  The service's policies are reviewed by a policy review committee.  Work remains underway to replace policies that were implemented prior to the purchase of the facility approximately one year ago, with all policies on a two-yearly schedule.</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in the facility.  The facility has implemented processes to collect, analyse and evaluate data, which is utilised for service improvements.  An internal audit programme is being implemented.  Results are communicated to staff in meetings and on staff noticeboards.  Corrective action plans are documented when opportunities for improvements are identified but evidence was missing to indicate their implementation.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a health and safety committee.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can be made.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sensor mats, and intentional rounding.  A physiotherapist assesses all new residents and has developed comprehensive transfer plans, which have been reported as being successful in helping to reduce the number of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They are signed off by a manager when complete.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twenty accident/incident forms identified that forms are fully completed and include follow-up by a registered nurse.  Accident/incident forms are completed when a pressure injury is identified.  Neurological observations are completed for any suspected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Essential notifications are understood by the general manager, although Section 31 reports were not completed for two instances where the police were involved to help find a missing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Six staff files reviewed (three RNs, three caregivers) included the recruitment process (interview process, reference checking, police check), signed employment contracts, job descriptions and completed orientation programmes.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There is an implemented annual education and training plan.  There is an attendance register for each training session.  Staff attendance is less than 50% for mandatory training.  Staff are required to complete written core competencies as part of their induction to the service.  They also complete a competency questionnaire after attending in-services (eg, manual handling, code of rights, hand washing, fire evacuation). </w:t>
            </w:r>
          </w:p>
          <w:p w:rsidR="00EB7645" w:rsidRPr="00BE00C7" w:rsidP="00BE00C7">
            <w:pPr>
              <w:pStyle w:val="OutcomeDescription"/>
              <w:spacing w:before="120" w:after="120"/>
              <w:rPr>
                <w:rFonts w:cs="Arial"/>
                <w:b w:val="0"/>
                <w:lang w:eastAsia="en-NZ"/>
              </w:rPr>
            </w:pPr>
            <w:r w:rsidRPr="00BE00C7">
              <w:rPr>
                <w:rFonts w:cs="Arial"/>
                <w:b w:val="0"/>
                <w:lang w:eastAsia="en-NZ"/>
              </w:rPr>
              <w:t>Performance appraisals were up-to date in all staff files reviewed of staff who had been employed for one year or longer.</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are supported to maintain their professional competency.  Five of six registered nurses have completed their interRAI training.  There are implemented competencies for registered nurses including (but not limited to) medication, syringe driver, wound and insulin competencies.  Nursing staff also attend specific in-service training programmes (eg, delirium, advanced care planning, wound management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Rosters implement the staffing rationale.  The clinical manager/RN is available five days a week (Monday – Friday) and is supported by the general manager/RN one – two days a week.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wings.  The kauri wing (11 rest home and 3 hospital), nikau wing has 11 of 13 beds occupied (9 Hospital and 2 rest home) and kowhai wing has 13 of 17 beds occupied (9 hospital and 4 rest home).  There is a minimum of one staff RN on duty 24 hours a day, seven days a week.  Five caregivers are rostered on the AM shift and four caregivers are rostered on the PM shift.  Two caregivers work alongside the RN during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available five days a week with an additional short shift caregiver on the weekends to assist with activities.  There are separate cleaning staff seven days a week and laundry are taken off-site.</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attending to call bells in a timely manner.  Staff interviewed stated that overall the staffing levels are satisfactory and that the managers provide adequate support.  Residents and family interviewed also reported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Residents’ files are protected from unauthorised access.  </w:t>
            </w:r>
          </w:p>
          <w:p w:rsidR="00EB7645" w:rsidRPr="00BE00C7" w:rsidP="00BE00C7">
            <w:pPr>
              <w:pStyle w:val="OutcomeDescription"/>
              <w:spacing w:before="120" w:after="120"/>
              <w:rPr>
                <w:rFonts w:cs="Arial"/>
                <w:b w:val="0"/>
                <w:lang w:eastAsia="en-NZ"/>
              </w:rPr>
            </w:pPr>
            <w:r w:rsidRPr="00BE00C7">
              <w:rPr>
                <w:rFonts w:cs="Arial"/>
                <w:b w:val="0"/>
                <w:lang w:eastAsia="en-NZ"/>
              </w:rPr>
              <w:t>Entries are legible, dated and signed by the relevant caregiver or nurse including designation.  Residents’ files reflect service integration with files documented in both hard copy and electronic copy (Lee care).  Archived residents’ files are stored securely.  Electronic information is backed up using cloud-based technology.  All computers are individually password protected.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Pre-admission information packs are provided for families and residents prior to admission.  Seven admission agreements of long-term residents were reviewed and align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Registered nurses have been assessed for medication competency on an annual basis.  Caregivers complete competency assessments for the checking of medications.  Education around safe medication administration has been provided.  The service uses robotic rolls, and these are checked on delivery fortnightly, against the paper-based medication charts.  Standing orders are not used.  Three rest home and two hospital level of care residents were self-medicating and had self-medicating competencies in place authorised by the GP and reviewed three monthly.  Self-administration is monitored each shift for resident compliance.  The medication fridge is monitored daily.  All medications are stored safely.  Eye drops were dated on opening.  All hospital level stock was within the expiry dates.  All medications are prescribed for individual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14 medication charts reviewed (four rest home and ten hospital level of care) met legislative prescribing requirements.  The GP has reviewed the medication charts three monthly.  All medications had been administered as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on-site by a cook (currently progressing through chef qualifications), who is supported by morning and afternoon kitchenhands.   There is a four-weekly menu which has been reviewed by a dietitian May 2018.  The main kitchen is adjacent to the hospital dining room and meals are served from the bain marie directly to the residents in the dining room.  Meals are transported in a bain marie to the rest home dining room and served. </w:t>
            </w:r>
          </w:p>
          <w:p w:rsidR="00EB7645" w:rsidRPr="00BE00C7" w:rsidP="00BE00C7">
            <w:pPr>
              <w:pStyle w:val="OutcomeDescription"/>
              <w:spacing w:before="120" w:after="120"/>
              <w:rPr>
                <w:rFonts w:cs="Arial"/>
                <w:b w:val="0"/>
                <w:lang w:eastAsia="en-NZ"/>
              </w:rPr>
            </w:pPr>
            <w:r w:rsidRPr="00BE00C7">
              <w:rPr>
                <w:rFonts w:cs="Arial"/>
                <w:b w:val="0"/>
                <w:lang w:eastAsia="en-NZ"/>
              </w:rPr>
              <w:t>Resident dietary needs are known with individual likes and dislikes accommodated.  Dietary requirements (diabetic desserts vegetarian and pureed foods), cultural and religious food preferences are met.  The cook is notified of any residents with weight loss.  Additional or modified foods are also provided by the service.  Staff were observed assisting residents with their meals and drinks.</w:t>
            </w:r>
          </w:p>
          <w:p w:rsidR="00EB7645" w:rsidRPr="00BE00C7" w:rsidP="00BE00C7">
            <w:pPr>
              <w:pStyle w:val="OutcomeDescription"/>
              <w:spacing w:before="120" w:after="120"/>
              <w:rPr>
                <w:rFonts w:cs="Arial"/>
                <w:b w:val="0"/>
                <w:lang w:eastAsia="en-NZ"/>
              </w:rPr>
            </w:pPr>
            <w:r w:rsidRPr="00BE00C7">
              <w:rPr>
                <w:rFonts w:cs="Arial"/>
                <w:b w:val="0"/>
                <w:lang w:eastAsia="en-NZ"/>
              </w:rPr>
              <w:t>Fridge, chiller and freezer temperatures are taken and recorded daily.  End cooked food temperatures are taken and recorded on each meal.  Dishwasher rinse and wash temperatures are taken and recorded.  Cleaning schedules are maintained.  Chemicals are stored safely.  Kitchen staff were observed to be wearing correct personal protective clothing.  The food control plan was submitted 20 August 2018.  Food services staff have completed training in food safety and hygiene.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along with direct input from residents, provide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on admission, including applicable risk assessment tools such as falls and pressure injury risk assessments.  Initial interRAI assessments had been completed for all residents within 21 days of admission.  Resident needs and supports are identified through the ongoing assessment process in consultation with family/whānau and significant others.  The long-term care plans in place reflected the outcome of the assessments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(paper-based and electronic) were individualised and included resident goals.  Not all care plans reflected the resident’s current supports/needs.  Care plans evidenced resident (as appropriate) and family/whānau involvement in the care plan process.  Relatives interviewed confirmed they were involved in the care planning process.  Resident files demonstrate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GP, physiotherapist, podiatrist, dietitian and mental health services for the older person.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dietitian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documented in the progress notes of the resident electronic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treatment room.  Wound management policies and procedures are in place.  Wound assessments, treatment and evaluations were in place for four residents with wounds including three chronic wounds which were linked to the care plans.  There were no pressure injuries on the day of audit.  The GP and district nurse had been involved in the wound management of two chronic ulcers.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  Monitoring occurs for weight, vital signs, blood glucose, pain, neurological observations and challenging behaviour.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Acute care needs (on the electronic resident system) document appropriate interventions to manage short-term changes in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qualified registered diversional therapist (DT) who oversees the activity programme across two Sunrise Healthcare facilities.  She works two days a week at Jervois and is supported by an activity assistant who works Monday, Wednesday and Friday.  The integrated rest home and hospital activity programme is from 9.00 am to 4.00 pm Monday to Friday.  The activity team provide individual and group activities in the rest home (afternoons) and hospital (mornings) to meet the recreational preferences of the resident groups.  The programme includes (but not limited to); news group, exercises, board games, arts and crafts, flower arranging, word games, cooking, knitting club and jewellery making.  Community visitors include churches, inter-home visits, pet therapy, entertainers with happy hour and pre-school children.  There are weekly outings in the shared Sunrise Healthcare van.  The van drivers and activity team hold current first aid certificates.  Residents enjoy scenic drives to the airport, beaches and outings to community cafes, RSA and other rest homes for games and competitions.  One-on-one activities such as individual walks, massage, reading and pampering occur for residents who are unable or choose not to be involved in group activities.  A music therapy volunteer visits fortnightly for singing, playing guitar and music appreciation.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provided are appropriate to the needs, age and culture of the residents.  The younger person is invited to attend group activities of their interest and also attends community groups such as the gym and library and has a social worker to visit and accompany them on outings as desired.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assessment and plan are completed on admission in consultation with the resident/family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Families are invited to the resident meetings.  The service also receives feedback and suggestions for the programme through meetings, surveys and one-on-one feedback from residents and families.  Residents interviewed spoke positively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the RN within three weeks of admission and long-term care plans developed.  The resident and/or relative and health professionals as required, are involved in the evaluation process.  Long-term care plans had been evaluated at least six monthly for all long-term residents.  The GP reviews residents at least three monthly or earlier if required.  Ongoing nursing evaluations occur as indicated and are documented within the electronic progress notes and acute care needs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however, a referral for re-assessment for level of care had not been initiated.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Chemicals are stored in locked areas and safety datasheets are available.  There is a chemical spills kit available.  Relevant staff have completed chemical safety training.  Personal protective clothing is available for staff and seen to be worn by staff when carrying out their duties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30 July 2018.  The building has two levels with the basement area for staff only, storage and laundry space.  There is a lift between the floors with code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(also a health and safety representative) works two days a week on-site at Jervois and two days a week at another Sunrise Healthcare facility.  He is available on-call for facility matters.  The maintenance person ensures daily maintenance requests are addressed and a planned maintenance schedule is maintained.  Essential contractors are available 24 hours.  Calibration and functional checks of medical equipment is completed.  Hot water temperatures in resident areas are monitored and are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Rooms are refurbished as they become vacant.  The facility corridors have sufficient space for residents to safely mobilise using mobility aids.  There is safe access and ramps to the outdoor areas and deck.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The care staff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Toilet and shower facilities are of an appropriate design to meet the needs of the residents.  There are three rooms with full ensuites and four with shared ensuites.  All resident rooms have hand basins.  There are adequate numbers of communal bathrooms/toilets in each wing.  Communal toilet facilities have a system that indicates if it is engaged or vacant.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three double rooms and all others are single.  Privacy curtains were in place in the double rooms.  There is adequate room to safely manoeuvre mobility aids and transferring equipment such as hoists in the resident bedrooms.  Bedrooms have external windows allowing adequate light and ventilation.  Residents and families are encouraged to personalise their rooms.  This is evident on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rest home and hospital dining room with a large main lounge where most activities take place.  There are additional lounges where small group or individual activities can take place.  Seating and space is arranged to allow both individual and group activities to occur.  All furniture is safe and suitable for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designated cleaning staff seven days a week.  Cleaning trolleys are well equipped and kept in locked areas when not in use.  The service conducts regular reviews and internal audits of cleaning services to ensure these are safe and effective.  All personal clothing and linen is laundered off-site at a commercial laundry.  Dirty laundry is transported by lift to the basement and external shed where it is collected.  Clean laundry is delivered into the disused laundry area for distribution.  There was adequate clean linen available on the day of audit.  There is one washing machine for use if required for delicates.  Residents interviewed were overall happy with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and disaster policies and procedures to guide staff.  There is a minimum of one first aid trained staff member on every shift and during outings.  The facility has an approved fire evacuation plan.  Fire drills take place every six months.  Smoke alarms, sprinkler system and exit signs are in place.  Emergency lighting is in place, which is regularly tested.  A civil defence kit is in place.  Supplies of stored water and food are held on-site and are adequate for three days.  Electronic call bells are evident in resident’s rooms, lounge areas, and toilets/bathrooms.  The facility is kept locked from dusk to dawn.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There are sufficient doors and external opening windows for ventilation.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an RN currently on leave.  The clinical manager (CM) is covering the role in her absence and is responsible for the collation of infection events.  Infection events are collated monthly and reported to the monthly infection control meeting.  The 2017 infection control programme has been reviewed May 2018 and is linked to the quality system.  Infection quality goals are incorporated into the overall quality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Residents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has completed on-line MOH infection control education January 2017.  The infection control committee are representative of all areas (RNs, caregivers, housekeeping and food services) who meet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coordinator/CM has access to the quality nurse leader at the DHB, local laboratory, the DHB infection control nurse specialist and public health departments, gerontology nurse specialist and GPs.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defining roles and responsibilities for the prevention of infection, training and education of staff.  Infection control procedures developed in respect of the kitchen, laundry and housekeeping incorporate the principles of infection control.  The policies are reviewed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on infection control is included in orientation and as part of the annual training schedule.  Staff read and sign education content if they have not attended scheduled in-service.  Hand hygiene competencies are completed on orientation and are repeated at six monthly intervals.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coordinator/CM collates information obtained through surveillance to determine infection control activities and education needs in the facility.  Data is collated and sent to an external benchmarking company.  Benchmarking results are     displayed for staff.  Definitions of infections in place are appropriate to the complexity of service provided.  Infection control data is discussed at both the infection control meetings and staff meetings.  Trends are identified, and preventative measures put in place.  Internal audits for infection control are included in the annual audit schedule.  There is close liaison with the GP that advises and provides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Restraint minimisation policies and procedures include definitions, processes and use of restraints and enablers.  The restraint coordinator is an RN, who was on leave during the audit.  The clinical manager was interviewed in her absence.</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using restraints or enablers during the audit.  Procedures are in place to follow if restraint is used.</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 (link 1.2.7.5).</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2"/>
        <w:gridCol w:w="1280"/>
        <w:gridCol w:w="3741"/>
        <w:gridCol w:w="4902"/>
        <w:gridCol w:w="21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satisfaction survey identified several areas for improvements, but there were no corrective action plans documented to address these areas.  An internal auditing programme is in place with evidence to support that the audit schedule is being followed.  Corrective action plans are developed where indicated.  Five corrective action plans reviewed indicated that only one of the five plans were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Corrective action plans were not developed post the 2018 resident satisfaction survey where improvements were identified. </w:t>
            </w:r>
          </w:p>
          <w:p w:rsidR="00EB7645" w:rsidRPr="00BE00C7" w:rsidP="00BE00C7">
            <w:pPr>
              <w:pStyle w:val="OutcomeDescription"/>
              <w:spacing w:before="120" w:after="120"/>
              <w:rPr>
                <w:rFonts w:cs="Arial"/>
                <w:b w:val="0"/>
                <w:lang w:eastAsia="en-NZ"/>
              </w:rPr>
            </w:pPr>
            <w:r w:rsidRPr="00BE00C7">
              <w:rPr>
                <w:rFonts w:cs="Arial"/>
                <w:b w:val="0"/>
                <w:lang w:eastAsia="en-NZ"/>
              </w:rPr>
              <w:t>ii) Corrective action plans were developed around the internal auditing programme, but documentation did not evidence their implementation.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corrective action plans are developed around the patient satisfaction survey where areas have been identified requirement improvements.</w:t>
            </w:r>
          </w:p>
          <w:p w:rsidR="00EB7645" w:rsidRPr="00BE00C7" w:rsidP="00BE00C7">
            <w:pPr>
              <w:pStyle w:val="OutcomeDescription"/>
              <w:spacing w:before="120" w:after="120"/>
              <w:rPr>
                <w:rFonts w:cs="Arial"/>
                <w:b w:val="0"/>
                <w:lang w:eastAsia="en-NZ"/>
              </w:rPr>
            </w:pPr>
            <w:r w:rsidRPr="00BE00C7">
              <w:rPr>
                <w:rFonts w:cs="Arial"/>
                <w:b w:val="0"/>
                <w:lang w:eastAsia="en-NZ"/>
              </w:rPr>
              <w:t>ii) Ensure that corrective action plans are implemented.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general manager interviewed, understands her statutory and regulatory obligations in relation to essential notification report with examples provided, although she was unaware that a section 31 report needed to be completed for any police investigation involving a missing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Police were involved in two instances where a resident was missing (April 2018, May 2018) but section 31 reports to notify the Ministry were not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Section 31 reports are completed for any police investigation that involves a missing resident.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are provided with more than eight hours annually of in-service education.  Education is frequently followed with a competency questionnaire.  A selection of in-services are mandatory with less than 50% of staff attending.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attendance at mandatory in-service education is below 50%.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staff participate in the mandatory in-service education programme.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seven care plans reflected the outcomes of the assessment process and supports/needs to meet the goals.  Five resident care plans did not reflect interventions to support all the resident’s current health status.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1.Two hospital level residents’ care plans did not interventions to support all current needs as follows; (i) no pain management plan for chronic pain, and (ii) no pain assessment or plan for painful knees as per physiotherapy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2.Three rest home level residents’ care plans did not reflect current supports/needs as follows; (i) no pain management plan for resident with known pain and on regular and ‘as required’ analgesia, (ii) the care plan did not identify a resident as high falls risk and there were no documented falls prevention strategies in place.  Interventions post falls assessment had not been included in the care plan, and (iii) there was no risk alert on the care plan of a resident who has absconded several times and the care plan did not identify the use of a wandatrak.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3. One Māori resident who identified with his culture did not have this indicated in his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care plans reflect the current supports/interventions to meet the resident’s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1.3.9.1</w:t>
            </w:r>
          </w:p>
          <w:p w:rsidR="00EB7645" w:rsidRPr="00BE00C7" w:rsidP="00BE00C7">
            <w:pPr>
              <w:pStyle w:val="OutcomeDescription"/>
              <w:spacing w:before="120" w:after="120"/>
              <w:rPr>
                <w:rFonts w:cs="Arial"/>
                <w:b w:val="0"/>
                <w:lang w:eastAsia="en-NZ"/>
              </w:rPr>
            </w:pPr>
            <w:r w:rsidRPr="00BE00C7">
              <w:rPr>
                <w:rFonts w:cs="Arial"/>
                <w:b w:val="0"/>
                <w:lang w:eastAsia="en-NZ"/>
              </w:rPr>
              <w:t>Consumers are given the choice and advised of their options to access other health and disability services where indicated or requested. A record of this process is maintained.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with repeat absconding had not been referred to a needs assessor for re-assessment for change in level of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had received GP and mental health services review and recommendation for a resident with changes in cognitive status and absconding (link 1.2.4.2).  Interventions such a wandatrak (link 1.3.5.2) and 15-minute watch had been implemented.  The residents condition had not improved and an interRAI had not been completed for significant change in health status and a re-assessment for level of care had not been requested.  This was done on the day of audit, therefore the risk is reduced from high risk to moderate risk.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referrals are initiated for significant changes in health and interRAI assessments are completed for significant changes in health.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Sunrise Healthcare Limited - Jervois Residential Care</w:t>
    </w:r>
    <w:bookmarkEnd w:id="58"/>
    <w:r>
      <w:rPr>
        <w:rFonts w:cs="Arial"/>
        <w:sz w:val="16"/>
        <w:szCs w:val="20"/>
      </w:rPr>
      <w:tab/>
      <w:t xml:space="preserve">Date of Audit: </w:t>
    </w:r>
    <w:bookmarkStart w:id="59" w:name="AuditStartDate1"/>
    <w:r>
      <w:rPr>
        <w:rFonts w:cs="Arial"/>
        <w:sz w:val="16"/>
        <w:szCs w:val="20"/>
      </w:rPr>
      <w:t>6 June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