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Summerset Care Limited - Summerset at Aotea</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Summerset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Summerset at Aotea</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18 June 2018</w:t>
      </w:r>
      <w:bookmarkEnd w:id="7"/>
      <w:r w:rsidRPr="009418D4">
        <w:rPr>
          <w:rFonts w:cs="Arial"/>
        </w:rPr>
        <w:tab/>
        <w:t xml:space="preserve">End date: </w:t>
      </w:r>
      <w:bookmarkStart w:id="8" w:name="AuditEndDate"/>
      <w:r w:rsidR="00A4268A">
        <w:rPr>
          <w:rFonts w:cs="Arial"/>
        </w:rPr>
        <w:t>19 June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Summerset at Aotea provides rest home level care for up to 46 residents living in apartments within a village complex.  On the day of the audit, there were 17 rest home residents.  The village manager is non-clinical with two and a half years’ experience in the health sector.  The village manager is supported by a clinical manager/registered nurse that has been in the position since September 2017, and a regional operations manager.  The residents and relatives interviewed spoke positively about the care and supports provided at the service.</w:t>
      </w:r>
    </w:p>
    <w:p w:rsidRPr="00A4268A">
      <w:pPr>
        <w:spacing w:before="240" w:line="276" w:lineRule="auto"/>
        <w:rPr>
          <w:rFonts w:eastAsia="Calibri"/>
        </w:rPr>
      </w:pPr>
      <w:r w:rsidRPr="00A4268A">
        <w:rPr>
          <w:rFonts w:eastAsia="Calibri"/>
        </w:rPr>
        <w:t>This unannounced surveillance audit was conducted against the relevant Health and Disability Standards and the contract with the district health board.  The audit process included a review of policies and procedures, the review of residents and staff files, observations and interviews with residents, staff, management and general practitioner.</w:t>
      </w:r>
    </w:p>
    <w:p w:rsidRPr="00A4268A">
      <w:pPr>
        <w:spacing w:before="240" w:line="276" w:lineRule="auto"/>
        <w:rPr>
          <w:rFonts w:eastAsia="Calibri"/>
        </w:rPr>
      </w:pPr>
      <w:r w:rsidRPr="00A4268A">
        <w:rPr>
          <w:rFonts w:eastAsia="Calibri"/>
        </w:rPr>
        <w:t xml:space="preserve">This audit has identified improvements required around complaint management, staff education/appraisals and implementation of care.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 xml:space="preserve">Summerset at Aotea has a culture of open disclosure that is implemented.  Complaints and concerns information is made available to residents and their families.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Summerset at Aotea has a documented quality and risk management system.  Key components of the quality management system link to facility.  Annual surveys and monthly resident meetings provide residents and families with an opportunity for feedback about the service.  Quality performance is reported to staff at meetings and includes discussion about incidents, infections and internal audit results.  There are human resources policies including recruitment, selection, orientation and staff training and development.  The service has an orientation programme that provides new staff with relevant information for safe work practice.  There is an in-service training programme covering relevant aspects of care.  Staffing levels and skills mix policy is the documented rationale for determining staffing levels and skill mixes for safe service delivery.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clinical nurse leader and registered nurse complete assessments, interRAI assessments, care plans and evaluations within the required timeframes.  Risk assessment tools and monitoring forms are available.  </w:t>
      </w:r>
    </w:p>
    <w:p w:rsidRPr="00A4268A" w:rsidP="00621629">
      <w:pPr>
        <w:spacing w:before="240" w:line="276" w:lineRule="auto"/>
        <w:rPr>
          <w:rFonts w:eastAsia="Calibri"/>
        </w:rPr>
      </w:pPr>
      <w:r w:rsidRPr="00A4268A">
        <w:rPr>
          <w:rFonts w:eastAsia="Calibri"/>
        </w:rPr>
        <w:t xml:space="preserve">A diversional therapist for the rest home residents and a recreational therapist for the village coordinate and implement an integrated activity programme.  The activities meet the individual recreational needs and preferences of the consumer groups.  There are outings into the community and visiting entertainers.  </w:t>
      </w:r>
    </w:p>
    <w:p w:rsidRPr="00A4268A" w:rsidP="00621629">
      <w:pPr>
        <w:spacing w:before="240" w:line="276" w:lineRule="auto"/>
        <w:rPr>
          <w:rFonts w:eastAsia="Calibri"/>
        </w:rPr>
      </w:pPr>
      <w:r w:rsidRPr="00A4268A">
        <w:rPr>
          <w:rFonts w:eastAsia="Calibri"/>
        </w:rPr>
        <w:t xml:space="preserve">There are medicine management policies in place that meets legislative requirements.  Staff responsible for the administration of medications complete annual medication competencies and education.  The general practitioner reviews the medication charts three monthly.  </w:t>
      </w:r>
    </w:p>
    <w:p w:rsidRPr="00A4268A" w:rsidP="00621629">
      <w:pPr>
        <w:spacing w:before="240" w:line="276" w:lineRule="auto"/>
        <w:rPr>
          <w:rFonts w:eastAsia="Calibri"/>
        </w:rPr>
      </w:pPr>
      <w:r w:rsidRPr="00A4268A">
        <w:rPr>
          <w:rFonts w:eastAsia="Calibri"/>
        </w:rPr>
        <w:t xml:space="preserve">The food service is contracted to an external company.  Resident's individual dietary needs were identified and accommodated.  Staff have attended food safety and hygiene training.  Residents commented positively on the meals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A restraint policy includes comprehensive restraint procedures.  A documented definition of restraint and enablers aligns with the definition in the standards.  There were no residents with enablers or on restraint at the time of the audit.  Staff are trained in restraint minimisation and managing behaviours that challenge.</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officer uses the information obtained through surveillance to determine infection control activities, resources and education needs within the facility.  The service engages in benchmarking with other Summerset facilities.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434"/>
        <w:gridCol w:w="1280"/>
        <w:gridCol w:w="102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organisational complaints policy states that the village manager has overall responsibility for ensuring all complaints (verbal or written), are fully documented and investigated.  The electronic complaints register did not always include relevant information regarding the complaint.  There have been four complaints in 2017 and 2018 to date.  One of these complaints was through the Health and Disability Commission in April 2018.  The complaint has been investigated and closed with no further action required by the service.  Discussion around complaints is a standing agenda item for the various facility meetings.  A complaints procedure is provided to residents within the information pack at entry.  Feedback forms are available for residents/relatives in the facility.  Residents and relatives interviewed were aware of the complaints process and said they would feel comfortable to make a complaint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residents and three family members interviewed stated they were welcomed on entry and given time and explanation about services and procedures.  Family members interviewed also stated they are informed of changes in the resident’s health status and of incidents/accidents.  Resident/relative meetings are held every three months with an advocate from Age Concern present.  The village manager and the clinical nurse leader have an open-door policy.  The service produces a newsletter for residents and relatives.  Twelve incident forms sampled all demonstrated that next of kin were notified of the incident.  The service has policies and procedures available for access to interpreter services for residents (and their family/whānau).  If residents or family/whānau have difficulty with written or spoken English, the interpreter services are made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at Aotea provides care for up to 46 residents at rest home level care in a serviced apartment complex.  On the day of audit there were 17 residents receiving rest home level care (including four residents on respite).  All permanent residents were under the ARC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Group Limited Board of Directors have overall financial and governance responsibility and there is a company strategic business plan in place.  Summerset at Aotea has a site-specific business plan and goals that has been developed in consultation with the village manager, clinical nurse leader and regional operations manager.  The Summerset at Aotea quality plan is reviewed regularly throughout the year.  A full evaluation has been conducted for 2017.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non-clinical village manager who has been in the position for 18 months, manages the service.  The clinical nurse leader (CNL), who is a registered nurse, was absent for the first day of the audit.  The CNL has been in the position since September 2017 and supports the village manager.  A registered nurse with 14 years aged care experience, (four as a registered nurse), was filling the clinical nurse leaders position for the first day of the audit.  A regional operations manager and a clinical education manager based at the head office also provide support.  Village managers and clinical nurse leaders attend annual organisational forums and regional forums over two days each year for training and support.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Summerset at Aotea is implementing the organisation’s quality and risk management system.  There were gaps in implementation of internal audits between June and December 2017 between clinical managers.  The quality and risk management systems including internal audits have been fully completed and kept up-to-date since January 2018, and therefore no partial attainment has been raised for this.  There are policies and procedures being implemented to provide assurance that the service is meeting accepted good practice and adhering to relevant standards, including those standards relating to the Health and Disability Services (Safety) Act 2001.  Policies are reviewed on a regular basis.  The content of policy and procedures are detailed to allow effective implementation by staff.</w:t>
            </w:r>
          </w:p>
          <w:p w:rsidR="00EB7645" w:rsidRPr="00BE00C7" w:rsidP="00BE00C7">
            <w:pPr>
              <w:pStyle w:val="OutcomeDescription"/>
              <w:spacing w:before="120" w:after="120"/>
              <w:rPr>
                <w:rFonts w:cs="Arial"/>
                <w:b w:val="0"/>
                <w:lang w:eastAsia="en-NZ"/>
              </w:rPr>
            </w:pPr>
            <w:r w:rsidRPr="00BE00C7">
              <w:rPr>
                <w:rFonts w:cs="Arial"/>
                <w:b w:val="0"/>
                <w:lang w:eastAsia="en-NZ"/>
              </w:rPr>
              <w:t>The Summerset group has a ‘clinical audit, training and compliance’ calendar.  The calendar schedules the training and audit requirements for each month and the clinical nurse leader completes a ‘best practice’ sheet confirming completion of requirements.  The best practice sheet reports (but not limited to) meetings held, induction/orientation, audits, competencies and projects.  This is forwarded to head office as part of the ongoing monitoring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is a meeting schedule including monthly quality improvement (full facility) meetings that includes discussion about clinical indicators (eg, incident trends, infection rates).  Health and safety, infection control and restraint meetings occur three monthly.  There are other facility meetings held, such as kitchen and activities.  The documented internal audit programme includes aspects of clinical care.  Issues arising from internal audits are developed into corrective action plans.  Monthly and annual analysis of results is completed and provided across the organisation.  An annual residents/relatives survey completed (2017) reports overall 100% feedback of experience being good or very good.</w:t>
            </w:r>
          </w:p>
          <w:p w:rsidR="00EB7645" w:rsidRPr="00BE00C7" w:rsidP="00BE00C7">
            <w:pPr>
              <w:pStyle w:val="OutcomeDescription"/>
              <w:spacing w:before="120" w:after="120"/>
              <w:rPr>
                <w:rFonts w:cs="Arial"/>
                <w:b w:val="0"/>
                <w:lang w:eastAsia="en-NZ"/>
              </w:rPr>
            </w:pPr>
            <w:r w:rsidRPr="00BE00C7">
              <w:rPr>
                <w:rFonts w:cs="Arial"/>
                <w:b w:val="0"/>
                <w:lang w:eastAsia="en-NZ"/>
              </w:rPr>
              <w:t>There are monthly accident/incident benchmarking reports completed by the clinical nurse leader that break down the data collected across the rest home and staff incidents/accidents.  Infection control is also included as part of benchmarking across the organisation.  Health and safety internal audits are completed, and corrective actions are required based on benchmarking outcomes.  All incidents and infections are entered into the integrated VCare electronic system.  There is a health and safety, and risk management programme in place including policies to guide practice.  The two health and safety representatives interviewed have both been externally trained and were familiar with the goals in the current health and safety plan.  They are responsible for providing health and safety inductions to new staff.</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in place that includes the analysis of falls incidents and the identification of interventions on a case-by-case basis to minimise future falls.  Summerset at Aotea also provides new residents with two pairs of non-slip socks in the resident’s welcome pack.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Incident and accident data has been collected and analysed.  Discussions with the service confirmed that there is an awareness of the requirement to notify relevant authorities in relation to essential notifications.  Twelve resident related incident reports were reviewed.  All reports and corresponding resident files reviewed evidence that appropriate assessment and clinical care (except neurological observations – link 1.3.6.1) has been provided following an incident.  The incident reporting policy includes definitions and outlines responsibilities including immediate action, reporting, monitoring and corrective action to minimise and debriefing.  Data is linked to the organisation's benchmarking programme and is used for comparative purposes.  The village manager described appropriate occasions requiring essential notifications.  None have been required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A list of practising certificates is maintained.  Five staff files (one clinical nurse leader, one RN, one recreational therapist, and two caregivers) were reviewed, and all had relevant documentation relating to employment.  Performance appraisals had not always been completed annually.  The service has an orientation programme in place that provides new staff with relevant information for safe work practice.  The orientation programme includes documented competencies and induction checklists (sighted in files of newly appointed staff).  Staff interviewed were able to describe the orientation process and believed new staff were adequately orientated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education plan that is outlined on the ‘clinical audit, training and compliance calendar’.  The plan has not been fully implemented, however, a corrective action is in progress to correct this.  A competency programme is in place with different requirements according to work type (eg, caregivers, registered nurse and kitchen).  Core competencies are completed, and a record of completion is maintained on staff files.  Staff interviewed were aware of the requirement to complete competency training.  Caregivers complete an aged care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village manager and clinical nurse leader (CNL) each work 40 hours per week (Monday to Friday) and are available on call for any emergency issues or clinical support.  There is one registered nurse (either the clinical nurse leader (CNL) or the registered nurse) on day shift seven days per week.</w:t>
            </w:r>
          </w:p>
          <w:p w:rsidR="00EB7645" w:rsidRPr="00BE00C7" w:rsidP="00BE00C7">
            <w:pPr>
              <w:pStyle w:val="OutcomeDescription"/>
              <w:spacing w:before="120" w:after="120"/>
              <w:rPr>
                <w:rFonts w:cs="Arial"/>
                <w:b w:val="0"/>
                <w:lang w:eastAsia="en-NZ"/>
              </w:rPr>
            </w:pPr>
            <w:r w:rsidRPr="00BE00C7">
              <w:rPr>
                <w:rFonts w:cs="Arial"/>
                <w:b w:val="0"/>
                <w:lang w:eastAsia="en-NZ"/>
              </w:rPr>
              <w:t>On morning shift one caregiver works from 6.45 am to 3.15 pm and another from 7.00 am to 12.30 pm.  On afternoon shift one caregiver works from 3.00 pm to 11.15 pm and another from 5.00 pm to 11.00 pm.  Overnight there are two caregivers, which is appropriate given the layout of the complex.  The caregivers are also responsible for nine village residents on care support packages.  Seven are on basic packages and two are on supported living plus which includes assisted showers</w:t>
            </w:r>
          </w:p>
          <w:p w:rsidR="00EB7645" w:rsidRPr="00BE00C7" w:rsidP="00BE00C7">
            <w:pPr>
              <w:pStyle w:val="OutcomeDescription"/>
              <w:spacing w:before="120" w:after="120"/>
              <w:rPr>
                <w:rFonts w:cs="Arial"/>
                <w:b w:val="0"/>
                <w:lang w:eastAsia="en-NZ"/>
              </w:rPr>
            </w:pPr>
            <w:r w:rsidRPr="00BE00C7">
              <w:rPr>
                <w:rFonts w:cs="Arial"/>
                <w:b w:val="0"/>
                <w:lang w:eastAsia="en-NZ"/>
              </w:rPr>
              <w:t>In addition, there is a DT from 9.00 am to 5.00 pm, Monday to Friday.  A staff availability list ensures that staff sickness and vacant shifts are covered.  Three caregivers and one registered nurse interviewed confirmed that staff are replaced.  Staffing levels and skills mix policy is the documented rationale for determining staffing levels and skill mixes for safe service delivery.  Residents and family interviewed also advised that there were sufficient staff rostered 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medicine management policies and procedures that align with recognised standards and guidelines for safe medicine management practice in accordance with the Medicines Care Guide for Residential Aged Care 2011.  The CNL, RN and senior caregivers are responsible for the administration of medications for rest home residents.  Care staff complete competencies for the checking and witnessing of medications as required.  Medication competencies and education have been completed annually.  All medications were checked on delivery with any discrepancies fed back to the supplying pharmacy.  There were no self-medicating rest home residents at the time of the audit.  All medications were stored correctly.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electronic resident medication charts and corresponding medication administration records were reviewed.  The medication charts had photograph identification and allergy status recorded.  Staff recorded the time and date of ‘as required’ medications.  All ‘as required’ medications had an indication for use.  All medication charts reviewed identified that the GP had reviewed the medication chart three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external food service company is contracted for the provision of meals on-site, and to the village café.  The kitchen and main dining area is located on the second level.  There is a six-week rotating menu, which has been approved by the organisational dietitian.  Resident likes/dislikes and preferences are known and accommodated with alternative meal options.  The chef manager provides ‘fine dining’ and a chef’s choice based on suggestions from residents.  Special texture-modified meals, fortified foods, protein drinks and diabetic desserts are provided.  Kitchen staff receive a dietary profile for each resident.  The qualified chef manager (interviewed) is notified of any changes to resident’s dietary requirements/preferences.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fridge, freezer and end-cooked food temperatures are recorded twice daily.  All foods are stored correctly, and date labelled.  Cleaning schedules are maintained.  Chemicals are stored safely within the kitchen.  Staff were observed wearing correct personal protective clothing.  The chemical provider completes a monthly functional test on the dishwasher.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continued to implement improvements to the food service and respond to resident feedback promptly.  As a result of this, satisfaction with the meal service has continued to improve each year as documented in the resident survey.  The 2016 survey documented that 50% of residents were very satisfied with the meal service and the 2017 survey saw this increase to 67%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initiates a review and if required, a GP or nurse specialist consultation when a resident’s condition changes.  Care plans sampled addressed all residents’ needs and goals and caregivers reported they are easy to follow.  There is close registered nurse oversight with a registered nurse being on duty and undertaking clinical reviews seven days per week.  However, neurological observations are not always completed when required.  Relatives interviewed stated their relative’s needs are met and they are kept informed of any health changes.  There was documented evidence in the resident files of family notification of any changes to health, including infections, accidents/incidents, and medication changes.  Residents interviewed stated their needs are being met.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Initial wound assessments with ongoing wound evaluations and treatment plans were in place for five minor wounds.  Photographs are used as part of the wound assessment and evaluation process.  The registered nurse reported that the wound nurse specialist is available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for day use, night use, and other management.  Specialist continence advice is available as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number of monitoring forms and charts available for use including (but not limited to) pain monitoring (although inadequate), blood sugar levels, weight, wound evaluations, food and fluid intake.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employs a diversional therapist for the rest home and apartment residents and a recreational therapist for the village.  The activity team attends Summerset training sessions and the regional DT group.  Both activity persons have current first aid certificates.  The rest home residents’ programme is planned a month in advance and includes set activities, with the flexibility to add other activities of interest or suggestions made by residents.  Activities meet the recreational needs of the residents, ensuring all residents have the opportunity for outings, shopping, and attending community groups/events including concerts, functions and lunches.  Community visitors include monthly entertainers.  There are meaningful activities that are integrated with rest home and village residents.  There are four volunteers that assist with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former community links.  Church services are held.  The service has a van for the outings.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provide an opportunity for residents to feedback on the programme.  The diversional therapist completes activity assessments and plans and is involved in the multidisciplinary review, which includes the review of the activity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evidence of resident and family involvement in the review of resident centred care plans.  The registered nurses had evaluated all initial care plans of the permanent residents within three weeks of admission.  Written evaluations had been completed 6 monthly.  InterRAI reviews are completed at the same time as care plan evaluations.  There is evidence of multidisciplinary (MDT) team involvement in the reviews, including input from the GP and any allied health professionals involved in the resident’s care.  Families are invited to attend the MDT review and they are asked for input if they are unable to attend.  An RN has evaluated short-term care plans (sighted).  The GP completes three monthly reviews.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established systems in place to ensure the physical environment and facilities are safe and fit for their purpose.  The building has a current building warrant of fitness that expires on 13 October 2018.  Maintenance is undertaken by both internal staff and external contractors and the facility is maintained in good repair.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policy includes surveillance procedures.  Infection events are collected monthly and entered onto the SWAY electronic system.  The infection control officer provides infection control data, trends and relevant information to the infection control committee and clinical/quality meetings.  Areas for improvement are identified, corrective actions developed and followed-up.  The facility is benchmarked against other Summerset facilities of similar size and benchmarking results are fed back to the infection control officer and used to identify areas for improvement.  Infection control audits are completed (link 1.2.3.6) and corrective actions signed off (sighted).  Surveillance results are used to identify infection control activities and education needs within the facility.  There have been no outbreaks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policy includes comprehensive restraint procedures.  A documented definition of restraint and enablers aligns with the definition in the standards.  There are currently no residents with enablers or restraint.  Staff are trained in restraint minimisation and managing behaviours that challenge.  The service is committed to restraint minimisation and safe practice as evidenced in the restraint policy and interviews with the caregivers.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54"/>
        <w:gridCol w:w="1280"/>
        <w:gridCol w:w="4041"/>
        <w:gridCol w:w="3558"/>
        <w:gridCol w:w="280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1.1.13.1</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an easily accessed, responsive, and fair complaints process, which is documented and complies with Right 10 of the Code.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electronic complaint register and evidence available demonstrated that two of the four complaints reviewed had been managed and documented in keeping with the requirements of Code 10 of the Code.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Two of the four complaints reviewed did not evidence that responses were made in line with Code 10 of the Health and Disability Commissioners Code of Consumer Rights (the Code).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complaints are acknowledged within five days and that the outcome of the investigation is provided to the complainant for all complaints.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Summerset provides all sites with an education calendar which, when adhered to ensures staff receive all required training.  The schedule has not been fully implemented.  Policy dictates that all staff have an annual performance appraisal, and this had occurred in three of five staff files sampled.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Not all required staff training has been provided as scheduled.  Missed trainings included chemical safety, continence and abuse and neglect.  (ii) Two of five staff files sampled had not had an annual performance appraisal completed.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staff receive all required training. (ii) Ensure all staff have an annual performance appraisal.</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policy and procedures dictate that neurological observations should be completed for all unwitnessed falls.  This is not occurring.  Pain monitoring forms are used but do not include all required information.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Neurological observations were not completed for eight of eight incident forms reviewed where the resident had unwitnessed falls and potentially hit their head.  (ii) The pain monitoring chart described the pain but not the cause, intervention or effectiveness.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neurological observations are completed for all unwitnessed falls where the resident may have potentially hit their head.  (ii) Ensure full pain monitoring occurs for residents that experience pain.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Summerset Care Limited - Summerset at Aotea</w:t>
    </w:r>
    <w:bookmarkEnd w:id="58"/>
    <w:r>
      <w:rPr>
        <w:rFonts w:cs="Arial"/>
        <w:sz w:val="16"/>
        <w:szCs w:val="20"/>
      </w:rPr>
      <w:tab/>
      <w:t xml:space="preserve">Date of Audit: </w:t>
    </w:r>
    <w:bookmarkStart w:id="59" w:name="AuditStartDate1"/>
    <w:r>
      <w:rPr>
        <w:rFonts w:cs="Arial"/>
        <w:sz w:val="16"/>
        <w:szCs w:val="20"/>
      </w:rPr>
      <w:t>18 June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