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Cambridge Oakdale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Cambridge Oakdale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June 2018</w:t>
      </w:r>
      <w:bookmarkEnd w:id="7"/>
      <w:r w:rsidRPr="009418D4">
        <w:rPr>
          <w:rFonts w:cs="Arial"/>
        </w:rPr>
        <w:tab/>
        <w:t xml:space="preserve">End date: </w:t>
      </w:r>
      <w:bookmarkStart w:id="8" w:name="AuditEndDate"/>
      <w:r w:rsidR="00A4268A">
        <w:rPr>
          <w:rFonts w:cs="Arial"/>
        </w:rPr>
        <w:t>19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Cambridge Oakdale provides residential care for up to 47 residents who require hospital, rest home and dementia level care. On the day of the audit there were 42 residents. The facility is operated by The Ultimate Care Group Limited.</w:t>
      </w:r>
    </w:p>
    <w:p w:rsidRPr="00A4268A">
      <w:pPr>
        <w:spacing w:before="240" w:line="276" w:lineRule="auto"/>
        <w:rPr>
          <w:rFonts w:eastAsia="Calibri"/>
        </w:rPr>
      </w:pPr>
      <w:r w:rsidRPr="00A4268A">
        <w:rPr>
          <w:rFonts w:eastAsia="Calibri"/>
        </w:rPr>
        <w:t>This surveillance audit was conducted against aspects of the Health and Disability Services Standards and the service’s contract with the district health board. The audit process included review of policies and procedures, review of residents’ and staff files, observations and interviews with residents, families, management, staff and a general practitioner.</w:t>
      </w:r>
    </w:p>
    <w:p w:rsidRPr="00A4268A">
      <w:pPr>
        <w:spacing w:before="240" w:line="276" w:lineRule="auto"/>
        <w:rPr>
          <w:rFonts w:eastAsia="Calibri"/>
        </w:rPr>
      </w:pPr>
      <w:r w:rsidRPr="00A4268A">
        <w:rPr>
          <w:rFonts w:eastAsia="Calibri"/>
        </w:rPr>
        <w:t xml:space="preserve">The areas requiring improvement from the previous certification audit relating to reporting of quality data to staff; orientation of staff; on-going education and restraint competency assessments; storage of archived documents; resident documentation; the management of weight loss; access to the van for residents who have limited mobility; and aspects of medicine management have been addressed. There are no improvements required from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interpreter services if required.  </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Ultimate Care Group Limited is the governing body and is responsible for the service provided.  A strategic business plan and quality and risk management systems are fully implemented at Ultimate Care Cambridge Oakdale. Systems are in place for monitoring the service, including regular reporting by the facility manager and clinical services manager to the national support office.</w:t>
      </w:r>
    </w:p>
    <w:p w:rsidRPr="00A4268A">
      <w:pPr>
        <w:spacing w:before="240" w:line="276" w:lineRule="auto"/>
        <w:rPr>
          <w:rFonts w:eastAsia="Calibri"/>
        </w:rPr>
      </w:pPr>
      <w:r w:rsidRPr="00A4268A">
        <w:rPr>
          <w:rFonts w:eastAsia="Calibri"/>
        </w:rPr>
        <w:t xml:space="preserve">The facility is managed by a facility manager who is new to the position. The facility manager has experience in the aged care sector and has worked at the facility for eight years. </w:t>
      </w:r>
    </w:p>
    <w:p w:rsidRPr="00A4268A">
      <w:pPr>
        <w:spacing w:before="240" w:line="276" w:lineRule="auto"/>
        <w:rPr>
          <w:rFonts w:eastAsia="Calibri"/>
        </w:rPr>
      </w:pPr>
      <w:r w:rsidRPr="00A4268A">
        <w:rPr>
          <w:rFonts w:eastAsia="Calibri"/>
        </w:rPr>
        <w:t xml:space="preserve">Quality and risk management systems are in place.  There is an internal audit programme. Adverse events are documented on incident/accident forms. Incident/accident forms and meeting minutes evidenced corrective action plans are developed, implemented, monitored and signed off as being completed to address any areas that require improvement.  Quality, health and safety, registered nurses (RNs), staff and residents’ meetings are held on a regular basis. The risk register evidenced review and updating of risks and the addition of new risks. </w:t>
      </w:r>
    </w:p>
    <w:p w:rsidRPr="00A4268A">
      <w:pPr>
        <w:spacing w:before="240" w:line="276" w:lineRule="auto"/>
        <w:rPr>
          <w:rFonts w:eastAsia="Calibri"/>
        </w:rPr>
      </w:pPr>
      <w:r w:rsidRPr="00A4268A">
        <w:rPr>
          <w:rFonts w:eastAsia="Calibri"/>
        </w:rPr>
        <w:t>Human resources processes are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 xml:space="preserve">The documented rationale for determining staffing levels and skill mixes is based on an electronic rostering tool that calculates staffing requirements based on the needs of residents. Registered nurses are rostered on duty at all times. The facility manager and clinical services manager are rostered on call after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of care, evaluation, review and exit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have been no structural alterations since the previous certification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was one resident using a restraint at the time of audit. No residents were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and forms available throughout the facility.  All complaints have been entered into the complaints register. Two complaints were reviewed and actions taken, through to an agreed resolution,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operations manager reported there have been no investigations by the Health and Disability Commissioner, the Ministry of Health, District Health Board (DHB), Accident Compensation Corporation (ACC), Coroner or Police since the previous certification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stated they are kept well informed about any changes to their own or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Interpreter services can be accessed via the local DHB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strategic plans are reviewed annually and include the purpose, values, scope, direction and goals and objectives of the organisation. An organisational flowchart shows the positions within the organisation. Monthly reports are generated electronically and sent to the national support office. Reports include but are not limited to financial performance, occupancy, staffing and any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(FM) is new to the position and started on the day of the audit. The FM has experience working in the aged care sector and has worked in the facility for eight years, four years as a caregiver and four years as an activities coordinator. The FM has almost completed the diversional therapy programme and is enrolled to undertake a diploma in business management. The FM is currently being orientated to their position by the regional operations manager who stated they will be at the facility for at least three weeks. The FM is also supported by the clinical services manager (CSM) who has been in their position since April 2018. The CSM has prior experience in aged care as a registered nurse working on the floor and as an acting CSM for another organisation. The CSM is responsible for oversight of the clinical service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Ultimate Care Cambridge Oakdale is certified to provide 47 hospital, rest home and dementia level care beds. All the hospital and rest home beds have been approved as dual-purpose beds and there are 16 dedicated dementia beds. On the day of audit there were 42 residents - 13 hospital including one resident under the age of 65 years,16 rest home residents and 13 dementia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Cambridge Oakdale has contracts with the DHB for aged related residential care services and long term chronic health conditions. </w:t>
            </w:r>
          </w:p>
          <w:p w:rsidR="00EB7645" w:rsidRPr="00BE00C7" w:rsidP="00BE00C7">
            <w:pPr>
              <w:pStyle w:val="OutcomeDescription"/>
              <w:spacing w:before="120" w:after="120"/>
              <w:rPr>
                <w:rFonts w:cs="Arial"/>
                <w:b w:val="0"/>
                <w:lang w:eastAsia="en-NZ"/>
              </w:rPr>
            </w:pPr>
            <w:r w:rsidRPr="00BE00C7">
              <w:rPr>
                <w:rFonts w:cs="Arial"/>
                <w:b w:val="0"/>
                <w:lang w:eastAsia="en-NZ"/>
              </w:rPr>
              <w:t>The regional operations manager advised HealthCERT has been notified of the change of FM and CSM since the previous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comprehensive quality and risk management system that guides the quality programme and includes principles and quality targets for 2018. Two projects have been identified for 2018 relating to the management of weight and pain and information is updated electronically two monthly. </w:t>
            </w:r>
          </w:p>
          <w:p w:rsidR="00EB7645" w:rsidRPr="00BE00C7" w:rsidP="00BE00C7">
            <w:pPr>
              <w:pStyle w:val="OutcomeDescription"/>
              <w:spacing w:before="120" w:after="120"/>
              <w:rPr>
                <w:rFonts w:cs="Arial"/>
                <w:b w:val="0"/>
                <w:lang w:eastAsia="en-NZ"/>
              </w:rPr>
            </w:pPr>
            <w:r w:rsidRPr="00BE00C7">
              <w:rPr>
                <w:rFonts w:cs="Arial"/>
                <w:b w:val="0"/>
                <w:lang w:eastAsia="en-NZ"/>
              </w:rPr>
              <w:t>Quality data for incident/accidents, satisfaction surveys, internal audits, infections, pressure injuries and medication errors is being collected, collated and comprehensively analysed to identify trends. Corrective actions are developed and implemented with monitoring to make sure corrective actions have been effective. Quality, RN, staff, health and safety and resident meeting minutes reviewed evidenced regular reporting and review of data including any trends. Monthly reports, including graphs, are provided by the national support office. The CSM demonstrated sound knowledge relating to quality and risk management. Staff confirmed they are kept fully informed and discuss quality data at their meetings including trends and what corrective actions have been put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yearly. The 2017 survey showed residents and families are satisfied or very satisfied with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embedded at Ultimate Care Cambridge Oakdale. They are relevant to the scope and complexity of the service, reflected current accepted good practice and referenced legislative requirements and refer to interRAI. Policies and procedures have been reviewed by the clinical advisory panel (CAP) and are current. New / reviewed policies are available for staff to read in the nurses’ station and they are required to sign off these once read. Staff interviewed confirmed this.  Staff also confirmed the policies and procedures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and documented. The risk register includes but is not limited to clinical, environment, staffing and financial risks. A risk matrix is used to rate the level of risk. The FM, who is the health and safety representative, is responsible for the management of hazards, including putting in place appropriate controls to eliminate or minimise all hazards on site. Interview of the FM confirmed this. Hazards are communicated to staff and residents as appropriate. The FM demonstrated a sound understanding of health and safety requirements.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and are reviewed by the RN on duty and the CSM. Documentation reviewed and interviews of staff indicated appropriate management of adverse events.  Adverse event data is collected and reported to the national support office where it is analysed and benchmarked with the other facilities within the organisation. A report is generated and provided to the facility and the CSM is responsible for interpreting the data and reporting back to staff.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essential notification responsibilities. The regional operations manager stated there has been one Section 31 notified for a pressure injury made to HealthCERT since the last certification audit and another pressure injury was notified on the day of the audit. The regional operations manager reported there have been no other notifications made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based on relevant legislation and good employment practice. Staff files reviewed include job descriptions which outline accountabilities,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including specific components depending on the position description. The entire orientation process, including completion of competencies, takes up to three months to complete and staff performance is reviewed at the end of this period and annually thereafter.  Orientation for staff covers the essential components of the service provided. Staff reported the orientation process prepared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CSM. Documentation evidenced in-service education is provided at least monthly and during the monthly staff meetings where the RNs are expected to lead education sessions. External educators are sourced, and staff have the opportunity to attend sessions externally and are expected to share the information with the rest of the staff.  Individual certificates of training, attendance and competencies including restraint and medication were evidenced on staff files. Five RNs, including the CSM are interRAI trained and have current competencies. Current first aid certificates were sighted on the RNs’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Qualification Authority education programme is available for staff who have not already completed the programme. All staff working in the dementia unit have completed or have started the dementia specific modules.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A documented and implemented process determines staffing levels and skill mixes to provide safe care to residents. Staffing levels are adjusted to meet the changing needs of residents, resident acuity including interRAI, occupancy and the environment. The Ultimate Care Group electronic rostering tool is based on the handbook indicators for safe aged care and dementia care. Staff are also consulted about any changes in workloads. The FM and CSM work full time Monday to Friday. Registered nurse cover is provided seven days a week over the 24-hour period. The FM and CSM are on call after hours. The roster showed at least one staff member per shift has a current first aid certificate. There are dedicated cleaning and laundry staff. An activities coordinator provides activities currently in the rest home, hospital area and the dementia unit. Staff in the dementia unit are also responsible for providing activities and volunteers come into the facility and provide activities. The FM reported there has been a good response to advertising for another activities person including two diversional therapists. The CSM reported they are about to employ another two RNs once all documentation required has been received.</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family reported there was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in a shed at the back of the facility. The shed is water proof and files are stored in boxes on shelves and off the floor. Records are readily retrievable using a cataloguing system on each box. No personal or private resident information was observed on public display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all medication charts had reason for use of prescribed pro re nata (PRN) medications and that all prescribed medications provided to rest home level care residents were provided in individually identified and labelled medication bottles.  The corrective action is now addressed with the implementation of an electronic medication management system in May 2017.  At time of audit an observation of a medication round also demonstrated and confirmed safe medication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supported by kitchen staff,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facility is registered with the Ministry of Primary Industries (MPI) and has opted to use the New Zealand Aged Care Association (NZACA) food plan template.  The facility is awaiting the arrival of the food plan and intends to individualise the template to their service choosing also to be audited in the future by their preferred provider.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Residents in the secure unit have access to food and fluids to meet their nutritional needs at all times.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family interviews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The ‘house doctor’ interviewed, verified that medical input is sought in a timely manner, that medical orders are followed, and care is of a very good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currently provided by two activities co-ordinators.  The activities staff support residents in the dementia unit from Monday to Friday 8.30 am to 12.30 pm and Monday to Friday in the rest home/hospital areas from 8.30am to 3.30pm. The residents are also supported by regular volunteers including music therapy which occurs in the dementia unit on a Friday afternoon from 2 pm to 3 pm.   The facility is currently interviewing for an activities co-ordinator in the rest home/hospital area.  The new facility manager, who has almost completed her diversional therapy papers, will continue to provide oversight to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Several residents are independent and encouraged to connect and interact with the community while other residents are supported by the staff and groups in the community to partake in regular community activities and groups.  Residents and families/whanau are involved in evaluating and improving the programme through residents’ meetings and day to day discussions. Residents interviewed confirmed they find the programme interactive and fun. </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all residents including residents with reduced/limited mobility were able to access the facility van thus access events in the community.  The corrective action is now address with records available to demonstrate that the residents are supported by the ongoing use of the facility’s car (currently away at another facility for three weeks), facility van and the regular hire of a second mobility van. Residents interviewed stated that they enjoy their outings and the ongoing access to their community.</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Specific activities are offered at times when residents are most physically active and/or restless and evidence of these activities were sighted in the resident’s care plans supporting challenging behaviours over a 24-hour period.   Activities can include one to one, distraction, going for walks, reminiscence and activities of daily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working documents throughout the fifteen residents’ files reviewed. Examples of short term care plans being consistently reviewed, and progress evaluated as clinically indicated were noted for infections, skin tears, falls and challenging behaviours.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at the front entrance that expires on the 17 June 2019. There have been no structural alterations since the previous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24 infections since January 2017.  Two residents have recently been commenced on prophylactic antibiotics and this was highlighted in GP and family discussions and long-term care planning to reduce and minimise the risk of infection due to co-morbidities.  Care staff interviewed demonstrated knowledge of residents who have a higher risk of infections and the interventions required.  Thirty four of 39 residents at the time and eight staff in April of 2018 consented to the flu vaccine with five residents actively declining.   </w:t>
            </w:r>
          </w:p>
          <w:p w:rsidR="00EB7645" w:rsidRPr="00BE00C7" w:rsidP="00BE00C7">
            <w:pPr>
              <w:pStyle w:val="OutcomeDescription"/>
              <w:spacing w:before="120" w:after="120"/>
              <w:rPr>
                <w:rFonts w:cs="Arial"/>
                <w:b w:val="0"/>
                <w:lang w:eastAsia="en-NZ"/>
              </w:rPr>
            </w:pPr>
            <w:r w:rsidRPr="00BE00C7">
              <w:rPr>
                <w:rFonts w:cs="Arial"/>
                <w:b w:val="0"/>
                <w:lang w:eastAsia="en-NZ"/>
              </w:rPr>
              <w:t>Data is benchmarked internally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on the 29th December 2017 through to 11th January 2018 with a total of 20 residents and 13 staff effected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has a section on enablers that includes a definition, assessment and evaluation. The restraint coordinator, who is a RN, reported the aim is to have no restraint. Up until recently, there was no resident using restraint. One resident is currently using bedrails as a restraint and there are no residents using an enabler. Staff interviewed demonstrated good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Cambridge Oakdale</w:t>
    </w:r>
    <w:bookmarkEnd w:id="58"/>
    <w:r>
      <w:rPr>
        <w:rFonts w:cs="Arial"/>
        <w:sz w:val="16"/>
        <w:szCs w:val="20"/>
      </w:rPr>
      <w:tab/>
      <w:t xml:space="preserve">Date of Audit: </w:t>
    </w:r>
    <w:bookmarkStart w:id="59" w:name="AuditStartDate1"/>
    <w:r>
      <w:rPr>
        <w:rFonts w:cs="Arial"/>
        <w:sz w:val="16"/>
        <w:szCs w:val="20"/>
      </w:rPr>
      <w:t>18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