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Baycare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Baycare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May 2018</w:t>
      </w:r>
      <w:bookmarkEnd w:id="7"/>
      <w:r w:rsidRPr="009418D4">
        <w:rPr>
          <w:rFonts w:cs="Arial"/>
        </w:rPr>
        <w:tab/>
        <w:t xml:space="preserve">End date: </w:t>
      </w:r>
      <w:bookmarkStart w:id="8" w:name="AuditEndDate"/>
      <w:r w:rsidR="00A4268A">
        <w:rPr>
          <w:rFonts w:cs="Arial"/>
        </w:rPr>
        <w:t>17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Radius Baycare is part of the Radius Residential Care group.  The service provides rest home, hospital level (medical services and geriatric services) care for up to 46 residents.  On the day of the audit there were 45 residents.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facility manager has been in the role since 2011 and has previous experience in aged care management.  She is supported by a clinical manager and the Radius regional manager.  Residents and family interviewed spoke positively about the service provided.</w:t>
      </w:r>
    </w:p>
    <w:p w:rsidRPr="00A4268A">
      <w:pPr>
        <w:spacing w:before="240" w:line="276" w:lineRule="auto"/>
        <w:rPr>
          <w:rFonts w:eastAsia="Calibri"/>
        </w:rPr>
      </w:pPr>
      <w:r w:rsidRPr="00A4268A">
        <w:rPr>
          <w:rFonts w:eastAsia="Calibri"/>
        </w:rPr>
        <w:t xml:space="preserve">One of two shortfalls identified at the previous audit have been addressed, this was around interRAI assessments.  Documentation of care plan interventions is a continued finding.  This audit has identified two areas requiring improvement around medication management and care monitoring.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families identified that they are fully informed of changes in health status.  The rights of the resident and/or their family to make a complaint is understood, respected and upheld by the service.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 facility manager and clinical manager are responsible for the day-to-day operations.  There is an implemented quality and risk management programme in place.  Meetings are held to discuss quality and risk management processes.  Residents meetings are held regularly, and residents and families are surveyed annually.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w:t>
      </w:r>
    </w:p>
    <w:p w:rsidRPr="00A4268A">
      <w:pPr>
        <w:spacing w:before="240" w:line="276" w:lineRule="auto"/>
        <w:rPr>
          <w:rFonts w:eastAsia="Calibri"/>
        </w:rPr>
      </w:pPr>
      <w:r w:rsidRPr="00A4268A">
        <w:rPr>
          <w:rFonts w:eastAsia="Calibri"/>
        </w:rPr>
        <w:t xml:space="preserve"> There is an education and training programme in place.  Comprehensive employment processes are adhered to.  An orientation programme is in place for new staff.  A roster provides sufficient staff for the effective delivery of care.  Residents and families report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Initial assessments and risk assessment tools are completed by the registered nurses or enrolled nurses on admission.  Registered nurses and enrolled nurses are responsible for care plan development with input from residents and family.  Planned activities are appropriate to the residents’ assessed needs and abilities and residents advised satisfaction with the activities programme.  There are medication policies and procedures in line with legislation and current regulations.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 philosophy to minimise the use of restraint and employs a variety of techniques to achieve this.  At the time of the audit, there were two residents with restraint and five with enablers.  Enabler use is voluntary.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is an implemented infection control programme that complies with current best practice.  Infection control surveillance is established that is appropriate to the size and type of services.  There is a defined surveillance programme with monthly reporting by the infection control coordinator.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79"/>
        <w:gridCol w:w="1280"/>
        <w:gridCol w:w="98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Baycare has a complaints policy and procedure in place.  The complaints procedure is provided to residents and their family within the information pack at entry.  Complaints forms are available at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complaints were made in 2017 and two complaints have been received in 2018 year to date.  All complaints are now logged on to the electronic database.  A review of the electronic complaints register evidences that appropriate and timely actions have been taken in the management and processing of these complaints.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document discussion of complaints.  Residents and families stated that the manager is very proactive and addresses issues raised very quickly.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facility manager and clinical manager confirmed that family are kept informed.  Relatives (two hospital and two rest home) stated they are notified promptly of any incidents/accidents.  Residents/relatives have the opportunity to feedback on service delivery through annual surveys and open-door communication with management.  Monthly resident meetings encourage open discussion around the services provided (meeting minutes sighted).  Accident/incident forms reviewed evidenced relatives are informed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facility has an interpreter policy to guide staff in accessing interpreter services.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Baycare is part of the Radius Residential Care group.  The service provides rest home, hospital level (medical services and geriatric services) care for up to 46 residents.  On the day of the audit there were 45 residents (20 rest home including 1 under the long-term chronic conditions contract, and 25 hospital level residents, including 1 younger person disabled).  All 45 beds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business plan 2017 – 2018.  The plan includes both business and quality objectives.  The service reports against the business and quality objectives to the regional manager.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very experienced and has been in the role since 2011.  She is supported by an experienced clinical nurse manager, who has been in the role at Baycare for one and a half years.  The regional manager also supports the facility manager in the management role and was present during the second day of the audit.  The facility manager has maintained more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regional manager.  Discussions with the managers and staff (one registered nurse, one enrolled nurse, three healthcare assistants, the cook and an activity coordinator) reflects their involvement in quality and risk management processes.  Facility meetings include: monthly staff meetings, one to two monthly quality meetings, quarterly health and safety meetings, monthly senior staff meetings and monthly resident meetings.  Meeting minutes reviewed document that quality outcomes are communicated to all staff.  Annual resident and relative surveys are completed with results communicated to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The health and safety representative interviewed, confirmed her understanding of health and safety processes including recent law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incidents/accidents, unplanned or untoward events and provides feedback to the service and staff so that improvements are made.  Radius has achieved tertiary level ACC Workplace Safety Management Practice.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There is a discussion of incidents/accidents at staff and quality meetings including actions to minimise recurrence.  </w:t>
            </w:r>
          </w:p>
          <w:p w:rsidR="00EB7645" w:rsidRPr="00BE00C7" w:rsidP="00BE00C7">
            <w:pPr>
              <w:pStyle w:val="OutcomeDescription"/>
              <w:spacing w:before="120" w:after="120"/>
              <w:rPr>
                <w:rFonts w:cs="Arial"/>
                <w:b w:val="0"/>
                <w:lang w:eastAsia="en-NZ"/>
              </w:rPr>
            </w:pPr>
            <w:r w:rsidRPr="00BE00C7">
              <w:rPr>
                <w:rFonts w:cs="Arial"/>
                <w:b w:val="0"/>
                <w:lang w:eastAsia="en-NZ"/>
              </w:rPr>
              <w:t>Fifteen incident forms were logged for April on the electronic system.  A review of the electronic log, including five in-depth incident forms reviewed, identified that forms are fully completed and include follow up by a registered nurse (RN).  Neurological observations are carried out for any suspected injury to the head.  All incidents reviewed had documented analysis to identify opportunities to improve service delivery and manage risk.  Discussions with the facility manager confirms that there is an awareness of the requirement to notify relevant authorities in relation to essential notifications with examples of situations provided.  No Section 31 forms have been completed in the last year and one completed for a non-facility acquired pressure injury in 2016.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reviewed (two RNs and three healthcare assistants), include a comprehensive recruitment process, which includes: reference checking, signed employment contracts, job descriptions, police checks, completed orientation programmes and annual performance appraisals.  A register of RN and other health practitioner practising certificates is maintained.  The orientation programme provides new staff with relevant information for safe work practice.  Staff are required to complete written core competencies during their induction.  These competencies are repeated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Education for the electronic care planning system has been provided and followed through in RN meetings.  There is an attendance register for each training session and an individual staff member record of training.  Four of five RNs have completed their interRAI training with one in the process, this is an improvement from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There is a full-time facility manager (RN) who works Monday to Friday and provides on call.  The clinical nurse manager works three days a week with support from an enrolled nurse.  An RN works on the other four-day shifts.   There is a registered nurse roster 24/7.</w:t>
            </w:r>
          </w:p>
          <w:p w:rsidR="00EB7645" w:rsidRPr="00BE00C7" w:rsidP="00BE00C7">
            <w:pPr>
              <w:pStyle w:val="OutcomeDescription"/>
              <w:spacing w:before="120" w:after="120"/>
              <w:rPr>
                <w:rFonts w:cs="Arial"/>
                <w:b w:val="0"/>
                <w:lang w:eastAsia="en-NZ"/>
              </w:rPr>
            </w:pPr>
            <w:r w:rsidRPr="00BE00C7">
              <w:rPr>
                <w:rFonts w:cs="Arial"/>
                <w:b w:val="0"/>
                <w:lang w:eastAsia="en-NZ"/>
              </w:rPr>
              <w:t>HCA staffing</w:t>
            </w:r>
          </w:p>
          <w:p w:rsidR="00EB7645" w:rsidRPr="00BE00C7" w:rsidP="00BE00C7">
            <w:pPr>
              <w:pStyle w:val="OutcomeDescription"/>
              <w:spacing w:before="120" w:after="120"/>
              <w:rPr>
                <w:rFonts w:cs="Arial"/>
                <w:b w:val="0"/>
                <w:lang w:eastAsia="en-NZ"/>
              </w:rPr>
            </w:pPr>
            <w:r w:rsidRPr="00BE00C7">
              <w:rPr>
                <w:rFonts w:cs="Arial"/>
                <w:b w:val="0"/>
                <w:lang w:eastAsia="en-NZ"/>
              </w:rPr>
              <w:t>Hospital (25 Hospital): There are four long shifts and one short shift for the AM, one long and three short shifts (staggered over the shift to ensure there are always two staff) for the PM and one HCA on nights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(20 rest home): There are two long shifts for the AM, one long shift for the PM and one HCA on nights.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checked against the doctor's medication profile on arrival from the pharmacy by a registered nurse.  Any mistakes by the pharmacy are regarded as an incident.  Medications are stored safely in the treatment room and no expired medications are on-site.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Designated staff are listed on the medication competency register which shows signatures/initials to identify the administering staff member.  A registered nurse was observed safely and correctly administrating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medication charts are identified with demographic details and photographs.  The medications fridge is monitored daily.  All ten medication charts sampled had allergies (or nil known) and indications for use for ‘as required’ medications documented.  All medications had been reviewed by a GP at least three-monthly, where the resident had been at the service for longer than three months.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self-administered medications.  The medication charting for short-term medications had no stop date, the process for controlled medications was not according to policy and not all medication was signed for when administered.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large workable kitchen.  The kitchen and the equipment are well maintained.  The service employs sufficient kitchen staff to provide meal services over seven days a week.  There are rotating four-weekly menus in place that are designed by a dietitian.  Diets are modified as required.  There is a choice of foods and the kitchen can cater to specific requests if needed.  There was evidence that likes and dislikes are catered for, including last minute requests.</w:t>
            </w:r>
          </w:p>
          <w:p w:rsidR="00EB7645" w:rsidRPr="00BE00C7" w:rsidP="00BE00C7">
            <w:pPr>
              <w:pStyle w:val="OutcomeDescription"/>
              <w:spacing w:before="120" w:after="120"/>
              <w:rPr>
                <w:rFonts w:cs="Arial"/>
                <w:b w:val="0"/>
                <w:lang w:eastAsia="en-NZ"/>
              </w:rPr>
            </w:pPr>
            <w:r w:rsidRPr="00BE00C7">
              <w:rPr>
                <w:rFonts w:cs="Arial"/>
                <w:b w:val="0"/>
                <w:lang w:eastAsia="en-NZ"/>
              </w:rPr>
              <w:t>Food safety information and a kitchen manual are available in the kitchen.  The food safety plan was approved and expires Dec 2018.  Food served on the day of audit was hot and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spoke positively about meals provided and they all stated that they are asked by staff about their food preferences and that these were met.  Alternatives are provided when a resident does not like the meal provided.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of regular checking of food in both the fridge and freezers to ensure it is disposed of when use by date expires.  All food is stored and handled safely.  Food temperatures are recorded.  The kitchen is clean.</w:t>
            </w:r>
          </w:p>
          <w:p w:rsidR="00EB7645" w:rsidRPr="00BE00C7" w:rsidP="00BE00C7">
            <w:pPr>
              <w:pStyle w:val="OutcomeDescription"/>
              <w:spacing w:before="120" w:after="120"/>
              <w:rPr>
                <w:rFonts w:cs="Arial"/>
                <w:b w:val="0"/>
                <w:lang w:eastAsia="en-NZ"/>
              </w:rPr>
            </w:pPr>
            <w:r w:rsidRPr="00BE00C7">
              <w:rPr>
                <w:rFonts w:cs="Arial"/>
                <w:b w:val="0"/>
                <w:lang w:eastAsia="en-NZ"/>
              </w:rPr>
              <w:t>Kitchen staff have been trained in safe food handling.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in the process of fully implementing a computerised care planning system.  All residents have a copy of a paper-based care plan which is kept at the nurse’s station and each resident plan is being transferred over to the computer system.  The service has a dual system until the computerised care plan is fully implemented.  However, not all care plans included interventions to support all current assessed needs (either documented on the paper-based care plan or the computer-based system).  This continues to be an improvement required since the previous audit.  The service has recognised this shortfall also and an action plan is in place which includes additional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files reviewed, the use of short-term care plans was evident.  Observation of care and interviews with staff and resident’s evidences that the residents are receiving care that meets all their needs, however this is not always documented.  The resident on a YPD contract has a current needs assessment.  The care plan for the YPD was resident focused and goal orientated.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for day use, night use and other management.</w:t>
            </w:r>
          </w:p>
          <w:p w:rsidR="00EB7645" w:rsidRPr="00BE00C7" w:rsidP="00BE00C7">
            <w:pPr>
              <w:pStyle w:val="OutcomeDescription"/>
              <w:spacing w:before="120" w:after="120"/>
              <w:rPr>
                <w:rFonts w:cs="Arial"/>
                <w:b w:val="0"/>
                <w:lang w:eastAsia="en-NZ"/>
              </w:rPr>
            </w:pPr>
            <w:r w:rsidRPr="00BE00C7">
              <w:rPr>
                <w:rFonts w:cs="Arial"/>
                <w:b w:val="0"/>
                <w:lang w:eastAsia="en-NZ"/>
              </w:rPr>
              <w:t>Specialist continence advice is available as needed and a physiotherapist visits the facility for a minimum of two hours weekly.  A contracted dietitian is available and provides input when this is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are available, and a treatment room is stocked for use.  Wound assessment and wound management plans were in place for six wounds, including one stage II pressure injury.  However, not all wound plans were fully documented.  There is evidence in files of the wound specialist referrals.  Wound care is completed within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are in use; however, shortfalls were identified around pain assessment/monitoring and restraint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coordinator is employed 30 hours per week to coordinate and implement an activities programme Monday to Friday 8.30am to 3.00pm for all residents.  Each resident is free to choose whether they wish to participate in the group activities programme or their individual plan.  Participation is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were observed being actively involved with a variety of activities.  Residents have a comprehensive assessment completed over the first few weeks after admission, obtaining a complete history of past and present interests, career and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age appropriate and have been comprehensively planned.  Activities provided are meaningful and reflect ordinary patterns of life.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long-term resident files reviewed identified that the individual activity plan is reviewed at the time of the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continued to maintain an integrated activity programme that is developed with the residents.   Family, residents and staff reported that the activity programme is highly appreciated.  The kapa haka group, golf and photo diaries have continued.  Monthly resident meetings document a high level of resident interaction and the activity programme is changed and added to, depending on resident feedback.  The resident survey for 2018 had documented an increase on satisfaction for activities from 50% in 2017 to 78% very satisfied in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plans sampled have been evaluated by the registered nurses within three weeks of admission.  The long-term care plans sampled have been evaluated using interRAI at least six-monthly or earlier, if there is a change in health status (link 1.3.5.2).  There is at least a three-monthly review by the GP.  Care plan reviews are signed by a registered nurse.  Short-term care plans are documented for acute changes in condition and evaluated.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posted in a visible location.  Reactive and preventative maintenance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of infection data assists in evaluating compliance with infection control practices.  Infections are collated monthly - including urinary tract, upper respiratory, skin and infections that do not require antibiotics.  This data is analysed and acted upon and reported to the facility meetings.  Monthly data was seen in staff areas.  The service submits data monthly to Radius head office where benchmarking is completed.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minimisation and safe practice policy that is applicable to the service and has recently been updated by the organisation.  The aim of the policy and protocol is to minimise the use of restraint and any associated risks.  There are two residents using restraint and five residents using enablers.  All enablers have a consent signed by either the resident or the activated EPOA.  The service is currently in the process of transferring the restraint process from paper-based system and log to the electronic system (link to 1.3.5.2 and 1.3.6.1).  The manager and restraint coordinator were able to explain the process for restraint and enabler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35"/>
        <w:gridCol w:w="1280"/>
        <w:gridCol w:w="4591"/>
        <w:gridCol w:w="4113"/>
        <w:gridCol w:w="21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medications are kept in the treatment room.  Staff who administer medication complete an annual competency assessment and the registered nurse observed administering medication, followed correct protocol.  However, not all prescribed medications were signed as administered, not all short-term medications were correctly prescribed and the process for controlled medications was not followed according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(i)When administering controlled medications for a shift with only one RN, the service checks out the medication and puts the medication in a pot.  The register is signed by one RN at this point.  The administering staff member documents the second signature later.  The administration records for controlled medications have only one signature.  (ii) Three of ten medication charts reviewed included medications that had been discontinued.  These medications had not been discontinued on the medication chart and had no stop date.  (iii) One medication chart had a regular medication not signed for.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controlled medication is checked out of the secure cupboard according to policy and two members of staff sign when administered.  (ii) Ensure that medications that are discontinued and/or short-term medications have a stop date.  (iii) Ensure that medications are signed for when administered.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resident has a care plan documented.  Of the care plans reviewed, one was paper based and the other four have been updated onto the electronic system.  However, not all care plan interventions fully reflected the resident’s assessed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 interRAI was up to date for one rest home residents, but care plan interventions have not been updated to reflect the interRAI.</w:t>
            </w:r>
          </w:p>
          <w:p w:rsidR="00EB7645" w:rsidRPr="00BE00C7" w:rsidP="00BE00C7">
            <w:pPr>
              <w:pStyle w:val="OutcomeDescription"/>
              <w:spacing w:before="120" w:after="120"/>
              <w:rPr>
                <w:rFonts w:cs="Arial"/>
                <w:b w:val="0"/>
                <w:lang w:eastAsia="en-NZ"/>
              </w:rPr>
            </w:pPr>
            <w:r w:rsidRPr="00BE00C7">
              <w:rPr>
                <w:rFonts w:cs="Arial"/>
                <w:b w:val="0"/>
                <w:lang w:eastAsia="en-NZ"/>
              </w:rPr>
              <w:t>(ii)One rest home resident has no interventions to reflect the resident’s risks around smoking (bringing lit cigarettes back into the room where there is oxygen).</w:t>
            </w:r>
          </w:p>
          <w:p w:rsidR="00EB7645" w:rsidRPr="00BE00C7" w:rsidP="00BE00C7">
            <w:pPr>
              <w:pStyle w:val="OutcomeDescription"/>
              <w:spacing w:before="120" w:after="120"/>
              <w:rPr>
                <w:rFonts w:cs="Arial"/>
                <w:b w:val="0"/>
                <w:lang w:eastAsia="en-NZ"/>
              </w:rPr>
            </w:pPr>
            <w:r w:rsidRPr="00BE00C7">
              <w:rPr>
                <w:rFonts w:cs="Arial"/>
                <w:b w:val="0"/>
                <w:lang w:eastAsia="en-NZ"/>
              </w:rPr>
              <w:t>(iii) One hospital level resident’s care plan had not been updated to include comfort cares and the need for regular, strong analgesia.</w:t>
            </w:r>
          </w:p>
          <w:p w:rsidR="00EB7645" w:rsidRPr="00BE00C7" w:rsidP="00BE00C7">
            <w:pPr>
              <w:pStyle w:val="OutcomeDescription"/>
              <w:spacing w:before="120" w:after="120"/>
              <w:rPr>
                <w:rFonts w:cs="Arial"/>
                <w:b w:val="0"/>
                <w:lang w:eastAsia="en-NZ"/>
              </w:rPr>
            </w:pPr>
            <w:r w:rsidRPr="00BE00C7">
              <w:rPr>
                <w:rFonts w:cs="Arial"/>
                <w:b w:val="0"/>
                <w:lang w:eastAsia="en-NZ"/>
              </w:rPr>
              <w:t>(iv) One hospital resident’s care plan does not include management of confusion and behaviours that challenge.</w:t>
            </w:r>
          </w:p>
          <w:p w:rsidR="00EB7645" w:rsidRPr="00BE00C7" w:rsidP="00BE00C7">
            <w:pPr>
              <w:pStyle w:val="OutcomeDescription"/>
              <w:spacing w:before="120" w:after="120"/>
              <w:rPr>
                <w:rFonts w:cs="Arial"/>
                <w:b w:val="0"/>
                <w:lang w:eastAsia="en-NZ"/>
              </w:rPr>
            </w:pPr>
            <w:r w:rsidRPr="00BE00C7">
              <w:rPr>
                <w:rFonts w:cs="Arial"/>
                <w:b w:val="0"/>
                <w:lang w:eastAsia="en-NZ"/>
              </w:rPr>
              <w:t>(v) One resident with restraint does not have this documented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document interventions that reflect current resident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in the process of fully implementing an electronic care planning system.  Observation of the residents and discussion with staff evidences that resident care is undertaken to ensure a safe and supportive environment.  Staff interviewed were knowledgeable regarding resident needs.  Families and resident interviewed stated that the care was very good.  The care plans do not reflect that all resident interventions are taking place.  The service has recognised this gap and an action plan is in place which includes additional training.  Monitoring charts are in use; however, shortfalls were identified around pain assessment/monitoring and restraint monitoring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(i)Pain monitoring was not documented for two hospital residents with identified pain.</w:t>
            </w:r>
          </w:p>
          <w:p w:rsidR="00EB7645" w:rsidRPr="00BE00C7" w:rsidP="00BE00C7">
            <w:pPr>
              <w:pStyle w:val="OutcomeDescription"/>
              <w:spacing w:before="120" w:after="120"/>
              <w:rPr>
                <w:rFonts w:cs="Arial"/>
                <w:b w:val="0"/>
                <w:lang w:eastAsia="en-NZ"/>
              </w:rPr>
            </w:pPr>
            <w:r w:rsidRPr="00BE00C7">
              <w:rPr>
                <w:rFonts w:cs="Arial"/>
                <w:b w:val="0"/>
                <w:lang w:eastAsia="en-NZ"/>
              </w:rPr>
              <w:t>(ii) Restraint monitoring has not been documented for one resident with restraint.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Of the three wound care plans reviewed, the documentation did not include a fully completed wound assessment and management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pain and restraint monitoring is documented.  (iii) Ensue that wound assessment and care plans are fully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Baycare Home &amp; Hospital</w:t>
    </w:r>
    <w:bookmarkEnd w:id="58"/>
    <w:r>
      <w:rPr>
        <w:rFonts w:cs="Arial"/>
        <w:sz w:val="16"/>
        <w:szCs w:val="20"/>
      </w:rPr>
      <w:tab/>
      <w:t xml:space="preserve">Date of Audit: </w:t>
    </w:r>
    <w:bookmarkStart w:id="59" w:name="AuditStartDate1"/>
    <w:r>
      <w:rPr>
        <w:rFonts w:cs="Arial"/>
        <w:sz w:val="16"/>
        <w:szCs w:val="20"/>
      </w:rPr>
      <w:t>16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