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Capital Residential Care Limited - Ocean View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Capital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Ocean View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April 2018</w:t>
      </w:r>
      <w:bookmarkEnd w:id="7"/>
      <w:r w:rsidRPr="009418D4">
        <w:rPr>
          <w:rFonts w:cs="Arial"/>
        </w:rPr>
        <w:tab/>
        <w:t xml:space="preserve">End date: </w:t>
      </w:r>
      <w:bookmarkStart w:id="8" w:name="AuditEndDate"/>
      <w:r w:rsidR="00A4268A">
        <w:rPr>
          <w:rFonts w:cs="Arial"/>
        </w:rPr>
        <w:t>20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Oceanview rest home is privately owned and operated.  The service is certified to provide rest home care for up to 20 residents with 15 residents on the days of audit.  The owner is the designated acting manager.  An administrator, second owner, and clinical nurse manager support the manager.  Residents and one family member interviewed were complimentary of the care and support provided.  </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Improvement is required in relation to; training relevant to rest home management for the owner/acting manager, quality system implementation and follow-up, education for staff, assessment process, care plan interventions, medication competencies for staff and medication documentation, consent forms for residents, and first aid competencies for staff.</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Staff at Oceanview strive to ensure that care is provided in a way that focuses on the individual, values residents' autonomy and maintains their privacy and choice.  Information about the code of rights and services is easily accessible to residents and families.  Policies are implemented to support residents’ rights.  Information on informed consent is included in the admission agreement and discussed with residents and relatives.  Staff interviewed were familiar with processes to ensure informed consent.  Care plans accommodate the choices of residents and/or their family/whānau.  Complaints and concerns policies are documented, and the complaints process is known by residents and relatives.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Oceanview is certified to provide rest home level of care.  The acting manager (owner) has the responsibility of running the facility with support by a clinical manager.  The quality and risk management programme includes service philosophy, goals and a quality planner.  Residents meetings have been held and residents and families have been surveyed.  Health and safety policies, systems and processes are implemented to manage risk.  Incidents and accidents are reported and managed.  Staff files are maintained, and annual appraisals have been conducted.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and reviews residents' needs, outcomes and goals with the resident and/or family/whānau input.  Care plans viewed in resident records demonstrated service integration and were evaluated at least six monthly.  Resident files included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service has implemented an electronic medication system.  The general practitioner reviews the medication charts three monthly.   </w:t>
      </w:r>
    </w:p>
    <w:p w:rsidRPr="00A4268A" w:rsidP="00621629">
      <w:pPr>
        <w:spacing w:before="240" w:line="276" w:lineRule="auto"/>
        <w:rPr>
          <w:rFonts w:eastAsia="Calibri"/>
        </w:rPr>
      </w:pPr>
      <w:r w:rsidRPr="00A4268A">
        <w:rPr>
          <w:rFonts w:eastAsia="Calibri"/>
        </w:rPr>
        <w:t xml:space="preserve">A relieving diversional therapist coordinates the activity programme for the residents.  The programme includes community visitors and outings, entertainment and activities that meet the individual recreational, physical, cultural and cognitive abilities and preferences.  </w:t>
      </w:r>
    </w:p>
    <w:p w:rsidRPr="00A4268A" w:rsidP="00621629">
      <w:pPr>
        <w:spacing w:before="240" w:line="276" w:lineRule="auto"/>
        <w:rPr>
          <w:rFonts w:eastAsia="Calibri"/>
        </w:rPr>
      </w:pPr>
      <w:r w:rsidRPr="00A4268A">
        <w:rPr>
          <w:rFonts w:eastAsia="Calibri"/>
        </w:rPr>
        <w:t xml:space="preserve">All meals are prepared and cooked on-site.  Residents' food preferences and dietary requirements are identified at admission and accommodated.  Food, fluid, and nutritional needs of residents are provided in line with recognised nutritional guidelines.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There are adequate numbers of communal toilet/shower facilities.  Cleaning and laundry services are implemented with appropriate monitoring systems in place to evaluate the effectiveness of these services.  Documented systems are in place for essential, emergency and security services.  There are call bells in resident rooms and communal areas.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no residents using restraints or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 registered nurse is the designated infection control coordinator and oversees the infection prevention and control programme.  The infection control coordinator can contact the DHB infection control nurse specialist or GP at any time for advice and information.  The infection prevention and control policies are comprehensive.  Infections are collated monthly, and trends are identified and used to identify education needs or generate improvement in practice.  Staff have annual infection control training and there are implemented internal audits around the environment and cleanliness that ensures that infection control is monitored.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01"/>
        <w:gridCol w:w="1280"/>
        <w:gridCol w:w="83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policy and procedure is implemented.  Discussions with staff (two caregivers, one activities coordinator, two registered nurses (one RN and one clinical nurse manager) the manager/owner and owner) confirmed their familiarity with the Code.  Interviews with six residents and one relative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as sighted in three of five resident files reviewed (three long-term, one respite care and one under 65 years).  Advance directives if known were on the resident files.  Resuscitation plans were sighted in the four long-term resident files.  Copies of EPOA were on files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family/whanau, are provided with appropriate information to make informed choices and informed decisions.  The care staff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A family member and six residents interviewed, confirmed they have been made aware of and fully understand informed consent processes and that appropriate information had been provided.  All resident’s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advocacy policy and procedure includes how staff can assist residents and families to access advocacy services.  Contact numbers for advocacy services are available in advocacy pamphlets that are available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a relative, confirmed that visiting can occur at any time.  Family members were seen visiting on the days of the audit.  Key people involved in the resident’s life are documented in the care plans.  Discussions with residents and a relative, verified that they are supported and encouraged to remain involved in the community.  Oceanview’s staff support ongoing access to the community.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using a complaints’ register.  There have been three complaints made in 2017 and none year-to-date for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complaints reviewed for 2017 included one from the DHB and two from relatives.  The DHB complaint had been investigated and closed out.  One relative complaint had been followed up and responded to appropriately.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 interviewed advised that they are aware of the complaints procedure.  Information on the complaint’s forms includes the contact details for the Health and Disability Advocacy Service.  Complaints forms are available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complaints and advocacy information.  Information is given to the family or the enduring power of attorney (EPOA) to read to and/or discuss with the resident.  Interviews with residents and one relative identified they have been provided with information about the code.  </w:t>
              <w:br/>
              <w:t xml:space="preserve">Resident meetings have been held providing the opportunity to raise concerns in a group setting.  </w:t>
              <w:br/>
              <w:t>Advocacy pamphlets, which include contact details, are included in the information pack and are available at reception.  The service has an advocacy policy that includes a definition of advocacy services, objectives and process/procedure/guidelines.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could describe the procedures for maintaining confidentiality of resident records and personal privacy for residents.  Residents and a relative interviewed confirmed the service is respectful and that they are given the right to make choices.  Care plans reviewed identified specific individual likes and dislikes.  Staff education and training on abuse and neglect has been provided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heath plan and an individual’s values and beliefs policy, which includes cultural safety and awareness.  Discussions with staff confirmed their understanding of the diverse cultural needs of residents and their whānau.  Three residents identify as Māori and caregivers interviewed were able to discuss cultural needs for these residents.  Policies include guidelines about the importance of whānau.  The service has links to a Māori cultural advisor and documents an annual review of cultural care and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includes consideration of spiritual, psychological and social needs.  Residents interviewed indicated that they are asked to identify any spiritual, religious and/or cultural beliefs.  One relative reported that they feel they are consulted and kept informed.  Family involvement is encouraged.  Care plans reviewed included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ethics, advocacy and legal issues.  The orientation programme provided to staff on induction includes dignity and privacy and boundaries.  Interviews with staff confirmed their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quality programme designed to monitor compliance and care.  Staffing policies include pre-employment, and the requirement to attend orientation and ongoing in-service training.  Policies and procedures are in place and document an annual review.  Staff meetings and residents’ meetings have been conducted.  </w:t>
              <w:br/>
              <w:t>Residents and one relative interviewed, spoke very positively about the care and support provided.  There are clear ethical and professional standards and boundaries within job descriptions.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clinical manager confirmed family are kept informed.  One relative interviewed,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is privately owned and operated.  One of the owners is the acting manager following the recent resignation of the manager.  The service is certified to provide rest home care to up to 20 residents, with 15 residents on the day of audit.  One resident was a respite resident,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has documented goals and objectives for business management, quality and risk management, the service environment and resident service delivery.  The mission statement includes; providing quality care and independence within a happy, safe, friendly environment.  An annual review of the quality and risk management programme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owner/acting manager has been in the role since March and he is supported by a co-owner and an experienced clinical nurse manager.   The acting manager has not attended professional development including around the management of an aged care home.  An administrator, a registered nurse and care staff also support the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short-term absence of the manager, the clinical nurse manager (a senior registered nurse) assumes the role with support from the other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Oceanview has a documented quality and risk programme.  There are annual reviews documented for activities, health and safety, risk management, complaints, infection control and medications.  This information has been used to formulate ongoing business and quality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documented to provide assurance that the service is meeting accepted good practice and adhering to relevant standards - including those standards relating to the Health and Disability Services (Safety) Act 2001.  Staff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Oceanview owners have visited the service regularly (staff reported three times a week) prior to the manager resigning.  The owner/acting manager is now on-site daily.</w:t>
            </w:r>
          </w:p>
          <w:p w:rsidR="00EB7645" w:rsidRPr="00BE00C7" w:rsidP="00BE00C7">
            <w:pPr>
              <w:pStyle w:val="OutcomeDescription"/>
              <w:spacing w:before="120" w:after="120"/>
              <w:rPr>
                <w:rFonts w:cs="Arial"/>
                <w:b w:val="0"/>
                <w:lang w:eastAsia="en-NZ"/>
              </w:rPr>
            </w:pPr>
            <w:r w:rsidRPr="00BE00C7">
              <w:rPr>
                <w:rFonts w:cs="Arial"/>
                <w:b w:val="0"/>
                <w:lang w:eastAsia="en-NZ"/>
              </w:rPr>
              <w:t>Two-monthly quality meeting minutes sighted evidenced staff discussion around accident/incident data, health and safety, infection control, audit outcomes, concerns and survey feedback.  The service collates accident/incident and infection control data.  Two weekly quality meetings have also recently been introduced for the owner(s) and senior staff to discuss and monitor the progress of processes and plans for the service.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programme that covers all aspects of the service and aligns with the requirements of the Health and Disability Services (Safety) Act 2001.  Internal audits have been completed as per schedule.  However, not all have been reported to the quality meetings and not all corrective actions have been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A resident survey for 2017 notes dissatisfaction with the environment.  There is a documented action plan and observation of the service evidences that substantial refurbishment has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enters them into a register.  They are monthly reports which are discussed at the quality and health and safety meetings.  The clinical manager documents an in-depth evaluation of incident each month.</w:t>
            </w:r>
          </w:p>
          <w:p w:rsidR="00EB7645" w:rsidRPr="00BE00C7" w:rsidP="00BE00C7">
            <w:pPr>
              <w:pStyle w:val="OutcomeDescription"/>
              <w:spacing w:before="120" w:after="120"/>
              <w:rPr>
                <w:rFonts w:cs="Arial"/>
                <w:b w:val="0"/>
                <w:lang w:eastAsia="en-NZ"/>
              </w:rPr>
            </w:pPr>
            <w:r w:rsidRPr="00BE00C7">
              <w:rPr>
                <w:rFonts w:cs="Arial"/>
                <w:b w:val="0"/>
                <w:lang w:eastAsia="en-NZ"/>
              </w:rPr>
              <w:t>Seven incident forms were reviewed for January and February 2018, three falls, three behaviours that challenge and one sudden death.  All incident forms identified a timely RN assessment of the resident and corrective actions to minimise resident risk.  Neurological observations had been completed for unwitnessed falls and any known head injury.  The sudden death has been signed off by the coroner and a section 31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next of kin had been notified for all required incidents/accidents.  The caregivers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interviewed could describe situations that would require reporting to relevant authorities.  They have had one coroner’s enquiry.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were reviewed (two RNs, two caregivers and one cook).  All files contained relevant employment documentation including current performance appraisals and completed orientations.  Current practising certificates were sighted for the registered nurses.  All required staff have been employed and appropriate employment practices followed.  The service has an orientation programme in place that provides new staff with relevant information for safe work practice in the provision of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planner in place, the service provides both online training and in-service training.  The planner and individual attendance records are updated after each session.  Not all subjects have been provided (link also to medication competencies 1.3.12.3 and first aid 1.4.7.1).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determine staffing levels and skill mixes for safe service delivery.  A roster provides sufficient and appropriate coverage for the effective delivery of care and support.  The acting facility manager/owner (non-clinical) and the clinical manager/RN are on duty during the day Monday to Friday.  A casual RN is also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The AM staffing includes; two caregivers, one 7.00 am to 3.00 pm and one 7.00 am to 1.00 pm.  The PM staffing includes; two caregivers, one 3.30 pm to 11.00 pm and one 3.00 pm to 9.00 pm.  There is one caregiver on a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 cook and a kitchenhand, seven days a week and a laundry/housekeeper,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a relative interviewed stated there were adequate staff on duty at all times.  Staff stated they feel supported by the RN, and clinical nurse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are unable to view sensitive resident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Pre-admission information packs are provided for families and residents prior to or on admission.  Admission agreements were sighted for the four long-term residents.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and senior caregivers are responsible for the administration of medications.  While a database evidenced medication training completed by staff, medication competencies were not sighted for all staff administering medication.  The services have used an electronic medication system for the last 18 months.  The regular and ‘as required’ medications are delivered in blister packs and there is evidence of medication reconciliation carried out by the clinical nurse manager.  All medications are stored safely.  There is no stock held and all medications sighted are prescribed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residents self-medicating with a medication competency that has not been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and signing sheets were reviewed on the electronic medication system.  All charts had photo identification and allergy status identified.  Prescribing for ‘as required’ medications had indications for use prescribed.  Not all ‘as required’ medications administered recorded the effectiveness of the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at Oceanview are prepared and cooked on-site by cooks, Monday to Friday.  The cooks are supported by a breakfast kitchenhand.  One afternoon caregiver heats and serves the pre-prepared evening meal.  The four-weekly menu has been reviewed by a dietitian April 2018.  Dietary needs are known with individual likes and dislikes accommodated.  Dietary requirements, cultural and religious food preferences are met.  Gluten-free, high protein diets and diabetic desserts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recorded daily and re-heating temperatures are taken on the evening meal.  Chemicals are stored safely.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residents with an opportunity to feedback on the meals and food services generally.  Residents and the relative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is in the process of being submitted to the council once the staff have completed their food safety training (link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(link 1.3.3.3) including risk assessment tools.  An interRAI assessment is undertaken within 21 days of admission and six monthly, or earlier due to health changes.  Resident needs and supports are identified through the ongoing assessment process in consultation with the resident/relative and significant others.  InterRAI assessments, assessment notes and summary were in place for all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had been developed within three weeks of admission.  Not all resident supports, and needs were included in the care plans for all resident files reviewed.  Care plans evidenced resident (as appropriate) and family/whānau involvement in the care plan process.  The relative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and older person’s community mental health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resident file reviewed on the family communication form.  The relative and residents interviewed stated their needs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  Wound management policies and procedures are in place.  Wound assessments, treatment and evaluation forms are available for use in the management of wounds.  There were no wounds on the day of audit.  The service has access to wound nurse specialists.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Monitoring occurs for observations, blood sugar levels, pain and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a vacancy for an activity person.  A relieving diversional therapist (DT) is employed to implement the Monday to Thursday activity programme from 9.00 am to 1.00 pm.  Activities include (but not limited to); newspaper reading, reminiscing, board games, walks, arts and crafts and exercises.  There are regular entertainers who attend in the weekends.  Community visitors include church visitors and pet therapy visitors.  There are visits into the community with Māori and non-Māori residents attending cultural events.  There have been outings to the film festivals and museums.      </w:t>
            </w:r>
          </w:p>
          <w:p w:rsidR="00EB7645" w:rsidRPr="00BE00C7" w:rsidP="00BE00C7">
            <w:pPr>
              <w:pStyle w:val="OutcomeDescription"/>
              <w:spacing w:before="120" w:after="120"/>
              <w:rPr>
                <w:rFonts w:cs="Arial"/>
                <w:b w:val="0"/>
                <w:lang w:eastAsia="en-NZ"/>
              </w:rPr>
            </w:pPr>
            <w:r w:rsidRPr="00BE00C7">
              <w:rPr>
                <w:rFonts w:cs="Arial"/>
                <w:b w:val="0"/>
                <w:lang w:eastAsia="en-NZ"/>
              </w:rPr>
              <w:t>An activity assessment and plan are completed on admission in consultation with the resident/family (as appropriate).  Activity plans in all files were reviewed six monthly.</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direct feedback and meetings.  The service has a van.  The relieving DT accompanies the driver on outings.  Van drives and outings have just been re-introduced.  The residents interviewed stated that they were happy with the current programme (since January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assessments for long-term residents were evaluated by the clinical nurse manager within three weeks of admission.  Long-term care plans have been reviewed against the resident goals at least six monthly or earlier for any health changes.  Short-term care plans are reviewed regularly with ongoing problems transferred to the long-term care plan if an ongoing problem.  The GP reviews the residents at least three monthly or earlier if required.  Ongoing nursing evaluations occur as indicated and are documented within the progress notes.  The resident/relative had been involved in the review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datasheets are readily accessible for staff.  Chemicals are stored safely throughout the facility.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two levels, with two resident rooms and a flat downstairs.  The building has a current building warrant of fitness that expires 7 June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oversees the maintenance programme.  Staff use a maintenance and request form for repairs, which is signed off once addressed.  There is a planned maintenance programme in place.  Hot water temperatures are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Essential contractors are available 24 hours.  Electrical testing has been completed and calibration of medical equipment has been carried out.  Environmental improvements include ceiling insulation, new dining room curtains, refurbishment of main hallways and upgrading of call bell system.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 and shower facilities are of an appropriate design to meet the needs of the residents.  There are adequate numbers of communal bathrooms/toilets with a system that indicates if it is engaged or vacant.  Residents interviewed state their privacy is respected when staff are attending to their personal hygiene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There is adequate room for residents to safely manoeuvre with mobility aids.  Residents are encouraged to personalise their rooms as viewed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within the facility include a main lounge and dining area.  Seating and space is arranged to allow both individual and group activities to occur.  All communal areas are easily accessible for residents using mobility aids.  All furniture is safe and suitable for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and cleaning services.  There is a dedicated laundry/cleaner on duty seven days from 9.30 am to 12.30 pm.  There are weekly task lists and spring cleaning schedules to follow.  Cleaning equipment is kept in a locked cupboard.  The laundry is located downstairs, and laundry is delivered through a chute.  Residents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and fire drills are included in the mandatory in-service.  First aid training is offered, however, not all shifts are covered by a first aid trained staff member.  The fire system has been upgraded and signed off by the fire service in November 2016.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sufficient food storage, water storage and alternative gas facilities for cooking in the event of a power failure/civil defence emergency.  There is a battery backup system for emergency lighting.  There are civil defence kits in the facility that are checked regularly.  Call bells are evident in residents’ rooms, lounge areas and toilets/bathrooms.  The facility is secured at night with call bell access afterhours and sensor lighting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safe ventilation, and heating.  The service has installed thermostat-controlled heating wall panels in each resident room.  There are heat pumps on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have external opening windows.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Oceanview has an established infection control programme.  The infection control programme, its content and detail, is appropriate for the size, complexity and degree of risk associated with the service.  It is linked into the incident reporting system.  The clinical nurse manager (registered nurse) is the designated infection control coordinator with support from all staff.  The programme has a documented annual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and IC team (comprising all staff) have good external support from the local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attends the infection control forums at the DHB and is provided with education and updates through this forum.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Enablers are assessed as required for maintaining safety and independence and are used voluntarily by the residents.  On the day of audit, the service had no residents using a restraint.  There were no residents using an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7"/>
        <w:gridCol w:w="1280"/>
        <w:gridCol w:w="3901"/>
        <w:gridCol w:w="3622"/>
        <w:gridCol w:w="19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informed consent form that covers general consents including release of medical information, door names, photographs and outings.  Specific consents are obtained for procedures such as influenza vaccine.  Three long-term residents have signed general consents in their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signed consents in the resident file for the respite care resident and the resident under 65 years of 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general consents are signed on admission to the service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currently being managed by the owner following the resignation of the previous manager.  The owner has not completed any training around managing an aged care facility.  The owner is supported by a clinical nurse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owner/acting manager is new to this role and the management of elderly care.  The acting manager/owner has not attended training relevant to the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acting manager/owner attends training relevant to the management of elderly care in a rest home environment.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programme that monitors all aspects of the service including clinical and non-clinical.  The service process is to report and discuss internal audits at quality meetings.  Not all audits have been documented as undertaken or reported to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Outcomes from internal audits completed were not always documented as reported to staff (Privacy audit and admission audit January and February 2018 as examples).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internal audit outcomes are reported to facility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takes responsibility of all clinical aspects of internal audits, follow-up and sign off.  The manager or administrator takes responsibility for all non-clinical audits, follow-up and sign off.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internal audits documented that not all action plans have been followed up and signed off.  Examples include; resident care plan audit, resident files check, hand hygiene, manual handling and pressure injuries (May to September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action plans developed as a result of internal audit short falls, are followed up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online training for staff.  A review of records documents very good uptake by the caregivers.  There is a training calendar for 2018, which has been followed year-to-date.  2017 training records do not document that all training was provided as per plan, however has been re-scheduled for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(i)Manual handling training and use of the new hoist has not been provided to staff as required by the manual handling internal audit completed September 2017.  (ii) The cook and kitchenhands have not attended a food safety refresher course.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 training is provided as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charts met legislative prescribing requirements.  All ‘as required’ medications had indications for use, but the effectiveness of the medication was not documented.  Medication charts are reviewed by the GP at least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effectiveness of ‘as required’ medications recorded in the electronic system or progress notes for two of 10 ‘as required’ medications administered as prescribed.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effectiveness of ‘as required’ medications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used an electronic medication system for the last 18 months.  On-line medication education had been completed by all staff who administer medication.  Staff administering medications are in the process of completing their annual medication competencies.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 could not be found to support that all staff administering medication have current medication competencies.  Advised that staff are currently working on completing their annual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who administer medications have completed annual medication competencies.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self-medicating.  The first self-medication assessment had been completed by the RN and authorised by the GP.  The self-medication competencies had not been reviewed three monthly.  Medications were stored safely and there was monitoring of self-medicating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self-medication competencies had not been reviewed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self-medication competencies are reviewed three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assessments and nursing care summaries had been completed for long-term residents but not the respite care resident.  Initial assessments include identifying clinical risk and admission observations including weight.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initial assessment, in place for the respite care resident.  Progress notes indicated the resident was at moderate risk of falls, however, no falls risk assessment had been completed and there were no admission observations or weight taken as required, as part of the initial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respite care residents have a completed initial assessment completed within 24 hours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for one long-term resident and one younger person reflected the resident’s current supports and assessed needs.  Two of four long-term care plans reviewed did not include interventions to support all current assessed needs.  Short-term care plans are developed for short-term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four long-term care plans did not reflect interventions to support all the resident’s current assessed needs (i) a resident with behaviours as identified in the interRAI assessment and (ii) a resident identified as a medium falls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include interventions to support the resident’s current assessed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First aid training is offered for staff.  Not all shifts have a current first aid trained staff member including the diversional therapist.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Over a two-week period reviewed; all of the PM shifts and all of the night shifts did not have a trained first aid staff member on duty and (ii) the DT does not have a current first aid certificate to accompany residents on outings.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each shift has a first aid trained staff member on duty, and (ii) Ensure staff accompanying residents on outings have a current first aid certificate.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Capital Residential Care Limited - Ocean View Residential Care</w:t>
    </w:r>
    <w:bookmarkEnd w:id="58"/>
    <w:r>
      <w:rPr>
        <w:rFonts w:cs="Arial"/>
        <w:sz w:val="16"/>
        <w:szCs w:val="20"/>
      </w:rPr>
      <w:tab/>
      <w:t xml:space="preserve">Date of Audit: </w:t>
    </w:r>
    <w:bookmarkStart w:id="59" w:name="AuditStartDate1"/>
    <w:r>
      <w:rPr>
        <w:rFonts w:cs="Arial"/>
        <w:sz w:val="16"/>
        <w:szCs w:val="20"/>
      </w:rPr>
      <w:t>20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