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Willard Elderly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Willard Elderly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March 2018</w:t>
      </w:r>
      <w:bookmarkEnd w:id="7"/>
      <w:r w:rsidRPr="009418D4">
        <w:rPr>
          <w:rFonts w:cs="Arial"/>
        </w:rPr>
        <w:tab/>
        <w:t xml:space="preserve">End date: </w:t>
      </w:r>
      <w:bookmarkStart w:id="8" w:name="AuditEndDate"/>
      <w:r w:rsidR="00A4268A">
        <w:rPr>
          <w:rFonts w:cs="Arial"/>
        </w:rPr>
        <w:t>8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PSC Willard Elderly Care provides rest home level care for up to 44 residents and on the day of the audit there were 38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is managed by a manager, who is supported by three registered nurses.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 service has addressed all three shortfalls from their previous certification audit around internal audits, wound documentation and recreational plans. </w:t>
      </w:r>
    </w:p>
    <w:p w:rsidRPr="00A4268A">
      <w:pPr>
        <w:spacing w:before="240" w:line="276" w:lineRule="auto"/>
        <w:rPr>
          <w:rFonts w:eastAsia="Calibri"/>
        </w:rPr>
      </w:pPr>
      <w:r w:rsidRPr="00A4268A">
        <w:rPr>
          <w:rFonts w:eastAsia="Calibri"/>
        </w:rPr>
        <w:t xml:space="preserve">This surveillance audit identified no further areas required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ensures effective communication with all stakeholders including residents and families.  Complaints processes are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PSC Willard Elderly Care continues to implement the Presbyterian Support Services Central quality and risk management system that supports the provision of clinical care.  Key components of the quality management system link to monthly senior team meetings.  An annual resident satisfaction survey is completed and there are regular resident meetings.  There are human resources policies including recruitment, selection, orientation and staff training and development.  The service has a documented induction programme.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each stage of service provision.  A registered nurse assesses and reviews residents' needs, outcomes and goals with the resident and/or family/whānau input.  Care plans reviewed in resident files demonstrated service integration.  Resident files included medical notes by the contracted GP and visiting allied health professionals.</w:t>
      </w:r>
    </w:p>
    <w:p w:rsidRPr="00A4268A" w:rsidP="00621629">
      <w:pPr>
        <w:spacing w:before="240" w:line="276" w:lineRule="auto"/>
        <w:rPr>
          <w:rFonts w:eastAsia="Calibri"/>
        </w:rPr>
      </w:pPr>
      <w:r w:rsidRPr="00A4268A">
        <w:rPr>
          <w:rFonts w:eastAsia="Calibri"/>
        </w:rPr>
        <w:t xml:space="preserve">The recreational team provide an activities programme for the residents that is varied, interesting and involves the families/whānau and community.  </w:t>
      </w:r>
    </w:p>
    <w:p w:rsidRPr="00A4268A" w:rsidP="00621629">
      <w:pPr>
        <w:spacing w:before="240" w:line="276" w:lineRule="auto"/>
        <w:rPr>
          <w:rFonts w:eastAsia="Calibri"/>
        </w:rPr>
      </w:pPr>
      <w:r w:rsidRPr="00A4268A">
        <w:rPr>
          <w:rFonts w:eastAsia="Calibri"/>
        </w:rPr>
        <w:t xml:space="preserve">Medication policies comply with legislative requirements and guidelines.  Registered nurses and healthcare assistants responsible for administration of medicines complete education and annual medication competencies. </w:t>
      </w:r>
    </w:p>
    <w:p w:rsidRPr="00A4268A" w:rsidP="00621629">
      <w:pPr>
        <w:spacing w:before="240" w:line="276" w:lineRule="auto"/>
        <w:rPr>
          <w:rFonts w:eastAsia="Calibri"/>
        </w:rPr>
      </w:pPr>
      <w:r w:rsidRPr="00A4268A">
        <w:rPr>
          <w:rFonts w:eastAsia="Calibri"/>
        </w:rPr>
        <w:t>All meals are prepared on-site.  Food, fridge and freezer temperatures are recorded.  Individual and special dietary needs are catered for.  Residents and family/whānau interviewed were complimentary about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which expires 5 April 2018.</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no residents requiring enablers or assessed as requiring the use of restraint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5"/>
        <w:gridCol w:w="1280"/>
        <w:gridCol w:w="104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the resident/family member.  The facility manager leads the investigation and management of complaints (verbal and written).  There is a complaints’ register that records activity.  Complaints are discussed at the monthly senior management team meeting and the monthly staff meetings.  Complaint forms are visible around the facility.  There was one documented complaint in 2017 (via Health and Disability).  Follow-up letters, investigation and outcomes were documented.  Discussion with residents and relatives confirmed they were aware of how to make a complaint.  A complaints procedure is provided to residents within the information pack at entry.  Concerns are dealt with promptly, so they do not become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disclosure policy.  Discussions with three residents and three family members, confirmed they were given time and explanation about services and procedures on admission.  Resident meetings occur quarterly, and the facility manager has an open-door policy.</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 forms have a section to indicate if family have been informed (or not) of an accident/incident.  Ten accident/incident forms sampled from January 2018 identify that family were notified following a resident incident.  Interview with care staff confirmed that family members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interviewed confirmed family have been informed when the resident health status changes.  The service has an interpreter policy to guide staff in accessing interpreter services.  Residents (and their family/whānau) are provided with this information at the point of entry.  The residents and family are informed prior to entry of the scope of services and any items they have to pay for that is not covered by the agreement.  The information pack is available in large print and advised that this can be read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Willard Elderly Care is part of the Presbyterian Support Central organisation (PSC).  The service provides rest home level care for up to 44 residents.  On the day of the audit there were 38 residents.  All residents were on the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Willard has a 2017-2018 business plan and a mission, vision and values statement defined.  The business plan outlines a number of goals for the year, each of which has defined objectives against quality, the Eden initiative and health and safety.  Progress towards goals (and objectives) is reported through the manager, with reports taken to the monthly senior management team meeting.  The facility manager is a registered nurse and has been in the role for the last nine years.  The facility manager is supported by registered nurses.  One has been in the position at Willard for four years.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at least eight hours annually of professional development activities related to managing a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(PSC) has an overall quality monitoring programme and facilities within the group are benchmarked with each other.  The monthly and annual reviews of this programme reflect the services ongoing progress around quality improvement.  There is a senior management team meeting that meets monthly.  Staff meeting minutes, clinical meeting minutes and interviews with healthcare assistants (HCAs) evidence that staff are informed of accident and incident trends, internal audit outcomes, infection trends and complaints.  Meeting minutes and reports are provided to the senior team, clinical and staff meetings, actions are identified in minutes and quality improvement forms which are being signed off and reviewed for effectiveness.  If internal audits fall below the required threshold, corrective actions with a subsequent re-audit is undertaken.  There is evidence that actions and results are communicated at meetings and on the staff noticeboard.  This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and accidents/incidents are also being documented on an electronic database.  The service has a health and safety management system, and this includes a health and safety representative that has completed health and safety training.  Monthly reports are completed and reported to meetings and at the quarterly health and safety committee.  Health and safety meetings include identification of hazards and accident/incident reporting and trends.  Emergency plans ensure appropriate response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A document control system is in place.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and relative satisfaction surveys have been completed as per company schedule, which included analysis.  There are implemented risk management, and health and safety policies and procedures in place including accident and hazard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The service collects a comprehensive set of data relating to adverse, unplanned and untoward events.  This includes the collection of incident and accident information.  The data is linked to the service benchmarking programme and this is used for comparative purposes with other similar services.  Quality and senior team meeting minutes include an analysis of incident and accident data and corrective actions.  A monthly incident/accident report is completed, which includes an analysis of data collected.  Accident/incident forms sampled from January 2018 included registered nurse assessment and follow-up.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service confirm that there is an awareness of the requirement to notify relevant authorities in relation to essential notifications – four notifications under section 31 had been made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recruitment.  Staff selection process requires that relevant checks are completed to validate the individual’s qualifications, experience and veracity.  A copy of practising certificates is kept.  Five staff files were reviewed (one RN, one cook, one recreational officer, one cleaner and one HCA).  All files reviewed contained a current position description and employment agreements.  Annual appraisals have been completed in the staff files reviewed.  The service has available an orientation programme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in place.  The majority of HCAs have completed at least some recognised qualifications (the 36-week HCA orientation takes staff to completion of level II).  Staff attend an annual compulsory study day, which includes training around the Eden Alternative programme.  The RNs attend regular group study days and can attend external training.  Eight hours of staff development or in-service education has been provided annually.  All individual records and attendance numbers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(RN) works full time.  There is at least one registered nurse on duty 8.00 am to 4.30 pm seven days a week.  Registered nurses from a fellow group home provide on call support out of these hours.  </w:t>
            </w:r>
          </w:p>
          <w:p w:rsidR="00EB7645" w:rsidRPr="00BE00C7" w:rsidP="00BE00C7">
            <w:pPr>
              <w:pStyle w:val="OutcomeDescription"/>
              <w:spacing w:before="120" w:after="120"/>
              <w:rPr>
                <w:rFonts w:cs="Arial"/>
                <w:b w:val="0"/>
                <w:lang w:eastAsia="en-NZ"/>
              </w:rPr>
            </w:pPr>
            <w:r w:rsidRPr="00BE00C7">
              <w:rPr>
                <w:rFonts w:cs="Arial"/>
                <w:b w:val="0"/>
                <w:lang w:eastAsia="en-NZ"/>
              </w:rPr>
              <w:t>AM shift; Two caregivers 7am to 3.30pm a third caregiver 7am to 2pm and a fourth caregiver 7am to 12.30pm.  Pm shift includes one caregiver 3.30pm to 12midnight, a second caregiver 3.15pm to 12midnight and a third caregiver 3.30pm to 9pm, NIGHT shift one caregiver 11.45pm to 7am and a second caregiver 12midnight to 7.15am.  There are extra staff that can be called on for increased resident requirements if needed.  Interviews with HCAs,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files were reviewed.  There are policies and procedures in place for safe medicine management that meet legislative requirements.  All senior staff who administer medications have been assessed for competency on an annual basis.  Education around safe medication administration has been provided.  Staff were observed to be safely administering medications.  Registered nurses interviewed were able to describe their role in regard to medicine administration.  Standing orders are not used.  There was one resident administering their inhaler on the day of audit who met the organisations policy relating to self-medication.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charts sampled met legislative prescribing requirements.  The medication charts reviewed identified that the GP had seen and reviewed the resident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Willard are prepared and cooked on-site.  There is a five-weekly seasonal menu, which had been reviewed by a dietitian.  Meals are delivered to the dining area.  Dietary needs are known with individual likes and dislikes accommodated.  Pureed, gluten free and diabetic desserts are provided.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Temperatures of food are recorded at the end of cooking and before serving.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services staff have completed training in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arranges a GP visit.  There is evidence of three monthly medical reviews or earlier for health status changes.  The long-term care plans reviewed described the support required to meet the resident’s goals and needs and identified allied health involvement under a comprehensive range of template headings.  The interRAI assessment process informs the development of the resident’s care plan.  Residents and relatives interviewed confirm care delivery and support by support by staff is consistent with their expectations.  Families confirmed they were informed of any changes to residents’ health status.  Resident files reviewed included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three residents between them had five wounds including a pressure injury.  The wound assessment form had been rewritten in May 2017, requiring more detailed assessment and the documentation of an assessment at each wound change.  The previous finding relating to wound assessment and documentation has now been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facility acquired pressure injury on the day of audit.  It was a grade two sacral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Staff report there are adequate continence and dressing supplies.  On the day of audit, supplies of these products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RNs interviewed could describe the referral process to a wound specialist, continence nurse and other allied health professionals.  Monitoring charts were in use where needed including (but not limited to) weight, and food and fluid.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recreational team (recently increased to cover seven days a week), provide individual and group activities in the home.  The recreation programme is supported by a team of volunteers.  The recreational programme provides individual and group activities that are meaningful and reflect ordinary patterns of life.  There are regular outings/drives, inter-home visits for all residents (as appropriate) and involvement by the community, including the primary school next door to the facility and the day care across the road.  A community garden is being established on the site and a volunteer coordinator has been appointed.  One-on-one activity occurs for residents who are unable or choose not to be involved in activities. </w:t>
            </w:r>
          </w:p>
          <w:p w:rsidR="00EB7645" w:rsidRPr="00BE00C7" w:rsidP="00BE00C7">
            <w:pPr>
              <w:pStyle w:val="OutcomeDescription"/>
              <w:spacing w:before="120" w:after="120"/>
              <w:rPr>
                <w:rFonts w:cs="Arial"/>
                <w:b w:val="0"/>
                <w:lang w:eastAsia="en-NZ"/>
              </w:rPr>
            </w:pPr>
            <w:r w:rsidRPr="00BE00C7">
              <w:rPr>
                <w:rFonts w:cs="Arial"/>
                <w:b w:val="0"/>
                <w:lang w:eastAsia="en-NZ"/>
              </w:rPr>
              <w:t>An activity profile is completed on admission in consultation with the resident/family (as appropriate).  All files reviewed had a documented individual recreational plan and the plans had been reviewed six monthly at the same time as the care plans were reviewed.  A summary of the evaluation of achievement of the residents’ goals is recorded on the RN evaluation of resident care sheet.  Activity participation was noted in the progress notes.  The two findings from the previous audit relating to individual recreational plans and evaluation of the same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surveys and one-on-one feedback from residents (as appropriate) and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residents stated they were satisfied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residents’ files reviewed, initial care plans (evidence was readily available for the residents who had been admitted in the last four years) were documented and evaluated by the RN within three weeks of admission.  Long-term care plans had been reviewed at least six monthly or earlier for any health changes.  The GP reviews the residents at least three monthly or earlier if required.  Evidence of three monthly GP reviews were seen in all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5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Systems are in place and are appropriate to the size and complexity of the facility.  The surveillance data is collected and analysed monthly to identify areas for improvement or corrective action requirements.  Infection control internal audits have been completed.  Infection rates have been low.  Trends are identified, and quality initiatives are discussed at staff meetings.  There is a policy describing surveillance methodology for monitoring of infections.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applicable to the service that complies with the Restraint Minimisation and Safe Practice Guideline 2008.  The organisational policy for restraint minimisation and enabler use ensures that enablers are voluntary, the least restrictive option and allows residents to maintain their independence.  There is a restraint and enabler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assessed as requiring restraint and no residents using enablers.  Staff interviews, and staff records evidence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Willard Elderly Care</w:t>
    </w:r>
    <w:bookmarkEnd w:id="58"/>
    <w:r>
      <w:rPr>
        <w:rFonts w:cs="Arial"/>
        <w:sz w:val="16"/>
        <w:szCs w:val="20"/>
      </w:rPr>
      <w:tab/>
      <w:t xml:space="preserve">Date of Audit: </w:t>
    </w:r>
    <w:bookmarkStart w:id="59" w:name="AuditStartDate1"/>
    <w:r>
      <w:rPr>
        <w:rFonts w:cs="Arial"/>
        <w:sz w:val="16"/>
        <w:szCs w:val="20"/>
      </w:rPr>
      <w:t>7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