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Metlifecare Somervale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Somervale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March 2018</w:t>
      </w:r>
      <w:bookmarkEnd w:id="7"/>
      <w:r w:rsidRPr="009418D4">
        <w:rPr>
          <w:rFonts w:cs="Arial"/>
        </w:rPr>
        <w:tab/>
        <w:t xml:space="preserve">End date: </w:t>
      </w:r>
      <w:bookmarkStart w:id="8" w:name="AuditEndDate"/>
      <w:r w:rsidR="00A4268A">
        <w:rPr>
          <w:rFonts w:cs="Arial"/>
        </w:rPr>
        <w:t>19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bed numbers have not changed and remain at 69, offering either rest home and/or hospital level care beds. The facility has been awarded a Bay of Plenty District Health Board (BOPDHB) contract for Provision of Health of Older Persons service (HOP contract). This contact is for two beds and is a dedicated bed contract which is funded regardless of use of the beds.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Somervale provides rest home and hospital level care for up to 69 residents. The service is operated by Metlifecare Limited and managed by a care manager (RN) who reports to the village manager. There is a team of registered nurses who support the care manager. </w:t>
      </w:r>
    </w:p>
    <w:p w:rsidRPr="00A4268A">
      <w:pPr>
        <w:spacing w:before="240" w:line="276" w:lineRule="auto"/>
        <w:rPr>
          <w:rFonts w:eastAsia="Calibri"/>
        </w:rPr>
      </w:pPr>
      <w:r w:rsidRPr="00A4268A">
        <w:rPr>
          <w:rFonts w:eastAsia="Calibri"/>
        </w:rPr>
        <w:t xml:space="preserve">A significant change to the service since the previous audit is the new contract for two dedicated Bay of Plenty District Health Board funded beds for the Provision of Health of Older Persons. This contact runs from March 2018 to August 2018. It does not change the capacity of the bed numbers.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including the clinical quality and risk manager from Metlifecare head office, staff, and a general practitioner.  </w:t>
      </w:r>
    </w:p>
    <w:p w:rsidRPr="00A4268A">
      <w:pPr>
        <w:spacing w:before="240" w:line="276" w:lineRule="auto"/>
        <w:rPr>
          <w:rFonts w:eastAsia="Calibri"/>
        </w:rPr>
      </w:pPr>
      <w:r w:rsidRPr="00A4268A">
        <w:rPr>
          <w:rFonts w:eastAsia="Calibri"/>
        </w:rPr>
        <w:t>This audit identified area one area requiring improvement relating to complaints management. There were no areas for improvement required in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The service demonstrates that it communicates effectively with its residents and their relatives in a timely and open manner. The service adheres to the practice of open disclosure where necessary.  There are appropriate processes in place to access interpreting services when required.  </w:t>
      </w:r>
    </w:p>
    <w:p w:rsidRPr="00A4268A">
      <w:pPr>
        <w:spacing w:before="240" w:line="276" w:lineRule="auto"/>
        <w:rPr>
          <w:rFonts w:eastAsia="Calibri"/>
        </w:rPr>
      </w:pPr>
      <w:r w:rsidRPr="00A4268A">
        <w:rPr>
          <w:rFonts w:eastAsia="Calibri"/>
        </w:rPr>
        <w:t>An electronic complaints register is maintained with identified complaints resolved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undertaken monthly in an effective manner. This process is undertaken and reported by the care manager.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within time 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 facility was restraint free at the time of audit with no enablers and no restraints in use. Policy states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9"/>
        <w:gridCol w:w="1280"/>
        <w:gridCol w:w="99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Family and resident interviews confirmed they know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was received over the past year and that actions taken, through to an agreed resolution, are documented and completed within the timeframes.  Action plans showed any required follow up and improvements have been made where possible.  The care manager is responsible for complaints management along with appropriate staff members from head office. Follow up is clearly documented. Staff interviewed did not always follow the documented process for the management of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staff knowing the residents well and able to provide interpretation, for example, simple verbal and sign language cues as and when needed.  The care manager stated that all the residents admitted to the facility acknowledge English as their first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quarterly reports to the clinical executive committee, who take the information to the board of directors, showed adequate information to monitor performance is reported including financial performance, ‘what went well’, quality data, staffing, complaints,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manager who is a registered nurse and who holds relevant qualifications. The care manager has been in the role for two years with Metlifecare and has many years’ experience in the same type of role with other age care providers. Responsibilities and accountabilities are defined in a job description and individual employment agreement.  The care manager reports to the village manager. Managers interviewed, including the organisation’s clinical quality and risk manager, confirmed their knowledge of the sector, regulatory and reporting requirements. Members of management maintain currency through attendance at relevant education both clinical and non-clinical. Metlifecare offer a four-module training session for managers which the care manager has completed.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Bay of Plenty District Health Board for rest home and hospital level care. The service has four appointed dedicated beds, two beds are for Transitional Active Care (TAC contract) and two beds are for Provision of Health for the Older Person (HOP contract).   These four beds were occupied at the time of audit with all four residents being hospital level care. There were 58 residents receiving services under the Age Related Residential Care contract (36 hospital level and 22 rest home level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wounds, near misses and falls. The status of quality data recording results are reviewed by the organisation’s clinical quality and risk manager and quality improvements are documented and implemented accordingly.</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meetings, quality and risk team meetings and staff meetings. Staff reported their involvement in quality and risk management activities through implementation of corrective actions and audit activities. Relevant corrective actions are developed and implemented to address any shortfalls. One example sighted (falls audit January 2018) showed that not all staff were completing a full post falls assessment to meet policy requirements. Additional education was put in place and the audit is to be repeated in April.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family satisfaction surveys are completed annually. The most recent survey (2017) showed that there was a 98% overall resident satisfaction with the care and services at Somervale. The published results from the satisfaction survey is made available to all residents and family members. One corrective action undertaken following the resident satisfaction survey has resulted in a review of the wording of the questions to ensure they are easier to understand. This related specifically to residents and families identifying they were not sure of the process if they wished to make a complaint. Management confirmed that complaints management is discussed as part of the entry process and that a copy of the process has been included in the resident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interviews described the processes for the identification, monitoring, review and reporting of risks and development of mitigation strategies. The manager is familiar with the Health and Safety at Work Act (2015) and has implemented requirements.  Metlifecare share learnings from all facilities related to health and safety findings as identified in documentation sighted and confirmed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electronically and this information is viewed by the care manager who ensures all actions have been taken. The organisation’s quality and risk manager also views each occurrence. The electronic system used ensures all actions are documented as the system used does not allow staff to move on to a new section of the form until all requirements are met. A sample of incidents reviewed showed these were fully completed, incidents were investigated, action plans developed and actions followed-up in a timely manner.  Adverse event data is collated, analysed and reported to head office, the board, management and staff. This was confirmed in meeting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and clinical quality and risk manager described essential notification reporting requirements, including for pressure injuries.  They advised there has been one notification of a significant events made to the Ministry of Health (Section 31) in May 2017 regarding a sensitive issue. All actions taken are clearly documented including family notification.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coroner’s inquests, and issues-based audits since the previous audit. Public health notification was sighted for an outbreak in March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six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Somervale have a new training initiative in place which covers all mandatory education and training in one day. Additional education is identified on the annual calendar. The staff confirmed the mandatory training day covers all aspects of service. The care manager monitors staff attendance to ensure all staff complete this at least annually.</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Two staff members are internal assessors for the programme.  There are sufficient trained and competent registered nurses (four)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Staffing levels shown on rosters exceed the required number of staff as shown on the interRAI level of care report. This was confirmed in an electronic labour tracking review undertaken daily.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adjusts staffing levels to meet the changing needs of residents.  An afterhour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four-weeks rosters confirmed staffing numbers remain constant and that adequate staff cover has been provided, with staff replaced in any unplanned absence.  All staff hold current first aid certificates and there is 24//7 RN coverage on both floors of the facility including night duty. </w:t>
            </w:r>
          </w:p>
          <w:p w:rsidR="00EB7645" w:rsidRPr="00BE00C7" w:rsidP="00BE00C7">
            <w:pPr>
              <w:pStyle w:val="OutcomeDescription"/>
              <w:spacing w:before="120" w:after="120"/>
              <w:rPr>
                <w:rFonts w:cs="Arial"/>
                <w:b w:val="0"/>
                <w:lang w:eastAsia="en-NZ"/>
              </w:rPr>
            </w:pPr>
            <w:r w:rsidRPr="00BE00C7">
              <w:rPr>
                <w:rFonts w:cs="Arial"/>
                <w:b w:val="0"/>
                <w:lang w:eastAsia="en-NZ"/>
              </w:rPr>
              <w:t>Two days a week an additional RN is on duty so that RNs with specific tasks can have dedicated time to meet the requirements of the portfolio they hold such as infection control or to attend family meetings and undertake doctors’ rounds uninterrupted or catch up on paper work. This was confirmed during interview and documented on rosters.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electronic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as required.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not recorded on six of 12 medicine charts reviewed; however, these reviews were evidenced as up to date in the GP paper-based records in the residents’ notes.   There is one resident self-administering medications and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manager (away at time of audit), one of two cooks and kitchen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care manager interviewed stated that the kitchen manager is currently developing a food plan and is aware of the council requirements and deadline.   Food temperatures, including for high 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All food is prepared and cooked on site and delivered to six kitchenettes each with an adjoining dining room, with the use of hot boxes.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The facility is supported by four GPs.  One ‘house doctor’ interviewed, verified that medical input is sought in a timely manner, that medical orders are followed, and care is appropriate.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and an assistant who is currently training to become a diversional therapist.  The activities team support residents Monday to Friday from 8am to 4.30pm.  After hours and in the weekends, staff have access to activities at all times and integrate daily living with activities while supporting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are specific to the needs and abilities of the people living there and care plans identify the resident’s individual diversional, motivational and recreational requirements over a 24-hour period.  Families and residents interviewed confirmed they find the programme stimulating and interactive.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care plans updated as changes occur for the residents throughout the six residents’ files reviewed. Examples of short term care plans being consistently reviewed, and progress evaluated as clinically indicated were noted for infections.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20 September 2018) is publicly displayed.  As the care home is newly built the service also holds a Code Compliance Certificate which was issued on 19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fungal/skin, eye, wound, upper and lower respiratory tract infection, diarrhoea/vomiting and urinary tract infections.   The IPC coordinator/registered nurse (absent at time of audit)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this is reported to the staff, care manager and organization.   The facility benchmarks data for respiratory tract and urinary infections with the support of an external source with eight other facilities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31 infections since October 2017 (18 of those 31 infections were related to a gastroenteritis outbreak).  One resident has been identified with frequent infections due to co-morbidities and has since deceased.   Three other residents’ files reviewed highlighted short term and long-term care planning to reduce and minimise the risk of infection.   Care staff interviewed demonstrated knowledge of residents who have a higher risk of infections and the interventions required.</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in March 2018 where 18 residents and 17 staff were affected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(care manager)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facility was restraint free with no residents using restraints or enablers. Policy states that enablers are the least restrictive and used voluntarily at the resident’s request. The restraint register showed that the last use of an enabler was in February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confirmed by staff during interview. Education records sighted in staff files showed that all staff had undertaken restraint/behaviour management education in October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51"/>
        <w:gridCol w:w="1280"/>
        <w:gridCol w:w="4668"/>
        <w:gridCol w:w="4549"/>
        <w:gridCol w:w="14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policy and procedure for complaints management identifies a responsive and fair complaints process which complies with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forms which are used to record complaints are clearly visible at reception and are located in the information folders at the entrance of the facility and in all six dining/lounge areas. Resident and family interviews confirmed that the complaints process is included in information given upon admission and that they would be happy to make a complaint if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identified that not all staff are following the documented complaints process. Three caregivers verbalised the fact that if anyone wanted to make a complaint they would advise the registered nurse on duty. Registered nurses confirmed this but they do not always follow policy requirements in dealing with complaints.</w:t>
            </w:r>
          </w:p>
          <w:p w:rsidR="00EB7645" w:rsidRPr="00BE00C7" w:rsidP="00BE00C7">
            <w:pPr>
              <w:pStyle w:val="OutcomeDescription"/>
              <w:spacing w:before="120" w:after="120"/>
              <w:rPr>
                <w:rFonts w:cs="Arial"/>
                <w:b w:val="0"/>
                <w:lang w:eastAsia="en-NZ"/>
              </w:rPr>
            </w:pPr>
            <w:r w:rsidRPr="00BE00C7">
              <w:rPr>
                <w:rFonts w:cs="Arial"/>
                <w:b w:val="0"/>
                <w:lang w:eastAsia="en-NZ"/>
              </w:rPr>
              <w:t>Education related to complaints management occurred in October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registered nurses described a process they use for complaints management which does not follow the documented Metlifecare procedures. Whilst one complaint was clearly documented in the resident’s clinical file and showed the actions taken to manage the complaint, the correct form was not used and the care manager was unaware of the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Neither the two registered nurses nor three caregivers interviewed knew where to locate the feedback forms. </w:t>
            </w:r>
          </w:p>
          <w:p w:rsidR="00EB7645" w:rsidRPr="00BE00C7" w:rsidP="00BE00C7">
            <w:pPr>
              <w:pStyle w:val="OutcomeDescription"/>
              <w:spacing w:before="120" w:after="120"/>
              <w:rPr>
                <w:rFonts w:cs="Arial"/>
                <w:b w:val="0"/>
                <w:lang w:eastAsia="en-NZ"/>
              </w:rPr>
            </w:pPr>
            <w:r w:rsidRPr="00BE00C7">
              <w:rPr>
                <w:rFonts w:cs="Arial"/>
                <w:b w:val="0"/>
                <w:lang w:eastAsia="en-NZ"/>
              </w:rPr>
              <w:t>The relative who made the complaint was interviewed and said they were very happy with the service provided and that they had no concerns.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are aware of the correct complaints procedure and the location of the feedback forms.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Metlifecare Somervale</w:t>
    </w:r>
    <w:bookmarkEnd w:id="58"/>
    <w:r>
      <w:rPr>
        <w:rFonts w:cs="Arial"/>
        <w:sz w:val="16"/>
        <w:szCs w:val="20"/>
      </w:rPr>
      <w:tab/>
      <w:t xml:space="preserve">Date of Audit: </w:t>
    </w:r>
    <w:bookmarkStart w:id="59" w:name="AuditStartDate1"/>
    <w:r>
      <w:rPr>
        <w:rFonts w:cs="Arial"/>
        <w:sz w:val="16"/>
        <w:szCs w:val="20"/>
      </w:rPr>
      <w:t>19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