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Tairua Residential Care Limited - Tairua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Tairua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Tairua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February 2018</w:t>
      </w:r>
      <w:bookmarkEnd w:id="7"/>
      <w:r w:rsidRPr="009418D4">
        <w:rPr>
          <w:rFonts w:cs="Arial"/>
        </w:rPr>
        <w:tab/>
        <w:t xml:space="preserve">End date: </w:t>
      </w:r>
      <w:bookmarkStart w:id="8" w:name="AuditEndDate"/>
      <w:r w:rsidR="00A4268A">
        <w:rPr>
          <w:rFonts w:cs="Arial"/>
        </w:rPr>
        <w:t>20 February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Nil</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Tairua Residential Care can provide care for up to 44 residents requiring either rest home; hospital (medical or geriatric) level of care.  On the day of the audit, there were 40 residents in total.</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 </w:t>
      </w:r>
    </w:p>
    <w:p w:rsidRPr="00A4268A">
      <w:pPr>
        <w:spacing w:before="240" w:line="276" w:lineRule="auto"/>
        <w:rPr>
          <w:rFonts w:eastAsia="Calibri"/>
        </w:rPr>
      </w:pPr>
      <w:r w:rsidRPr="00A4268A">
        <w:rPr>
          <w:rFonts w:eastAsia="Calibri"/>
        </w:rPr>
        <w:t>The general manager is responsible for operational management of the facility and is supported by the clinical nurse manager who provides clinical oversight.  Service delivery is monitored.</w:t>
      </w:r>
    </w:p>
    <w:p w:rsidRPr="00A4268A">
      <w:pPr>
        <w:spacing w:before="240" w:line="276" w:lineRule="auto"/>
        <w:rPr>
          <w:rFonts w:eastAsia="Calibri"/>
        </w:rPr>
      </w:pPr>
      <w:r w:rsidRPr="00A4268A">
        <w:rPr>
          <w:rFonts w:eastAsia="Calibri"/>
        </w:rPr>
        <w:t xml:space="preserve">Improvements are required to the following: documentation to confirm that family have been informed of incidents; recruitment process; timeliness of completion of interRAI, assessments; and care plan interventions.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Residents receive services in line with the Health and Disability Commissioner’s Code of Health and Disability Services Consumers’ Rights (the Code).  The systems protect their privacy and promote their independence.  There is a documented Māori health plan in place which acknowledges the principles of the Treaty of Waitangi.  Individual care plans include reference to residents’ values and beliefs.  </w:t>
      </w:r>
    </w:p>
    <w:p w:rsidRPr="00A4268A">
      <w:pPr>
        <w:spacing w:before="240" w:line="276" w:lineRule="auto"/>
        <w:rPr>
          <w:rFonts w:eastAsia="Calibri"/>
        </w:rPr>
      </w:pPr>
      <w:r w:rsidRPr="00A4268A">
        <w:rPr>
          <w:rFonts w:eastAsia="Calibri"/>
        </w:rPr>
        <w:t xml:space="preserve">Management and staff communicate in an open manner and residents and relatives are kept up-to-date when changes occur.  Systems are in place to ensure residents are provided with appropriate information to assist them to make informed choices.  </w:t>
      </w:r>
    </w:p>
    <w:p w:rsidRPr="00A4268A">
      <w:pPr>
        <w:spacing w:before="240" w:line="276" w:lineRule="auto"/>
        <w:rPr>
          <w:rFonts w:eastAsia="Calibri"/>
        </w:rPr>
      </w:pPr>
      <w:r w:rsidRPr="00A4268A">
        <w:rPr>
          <w:rFonts w:eastAsia="Calibri"/>
        </w:rPr>
        <w:t xml:space="preserve">The rights of residents or their legal representatives to make a consumer complaint is understood, respected and upheld.  An up-to-date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an annual business, quality and risk management plan in place which defines the scope, direction and objectives of the service and the monitoring and reporting processes.  The service is managed by the general manager who is a registered nurse with a current practising certificate.  </w:t>
      </w:r>
    </w:p>
    <w:p w:rsidRPr="00A4268A">
      <w:pPr>
        <w:spacing w:before="240" w:line="276" w:lineRule="auto"/>
        <w:rPr>
          <w:rFonts w:eastAsia="Calibri"/>
        </w:rPr>
      </w:pPr>
      <w:r w:rsidRPr="00A4268A">
        <w:rPr>
          <w:rFonts w:eastAsia="Calibri"/>
        </w:rPr>
        <w:t xml:space="preserve">The framework around a quality and risk management system is documented.  There are a range of policies and forms in place to guide practice.  Quality outcomes data is collected with a process in place to record adverse events.  </w:t>
      </w:r>
    </w:p>
    <w:p w:rsidRPr="00A4268A">
      <w:pPr>
        <w:spacing w:before="240" w:line="276" w:lineRule="auto"/>
        <w:rPr>
          <w:rFonts w:eastAsia="Calibri"/>
        </w:rPr>
      </w:pPr>
      <w:r w:rsidRPr="00A4268A">
        <w:rPr>
          <w:rFonts w:eastAsia="Calibri"/>
        </w:rPr>
        <w:t xml:space="preserve">The human resource management system is documented.  There is an orientation programme in place. </w:t>
      </w:r>
    </w:p>
    <w:p w:rsidRPr="00A4268A">
      <w:pPr>
        <w:spacing w:before="240" w:line="276" w:lineRule="auto"/>
        <w:rPr>
          <w:rFonts w:eastAsia="Calibri"/>
        </w:rPr>
      </w:pPr>
      <w:r w:rsidRPr="00A4268A">
        <w:rPr>
          <w:rFonts w:eastAsia="Calibri"/>
        </w:rPr>
        <w:t xml:space="preserve">There is a documented rationale for determining staff levels and staff mix in order to provide safe service delivery in the rest home and hospital.  An appropriate number of skilled and experienced staff are allocated each shift with a full complement of registered nurses now in place.  </w:t>
      </w:r>
    </w:p>
    <w:p w:rsidRPr="00A4268A">
      <w:pPr>
        <w:spacing w:before="240" w:line="276" w:lineRule="auto"/>
        <w:rPr>
          <w:rFonts w:eastAsia="Calibri"/>
        </w:rPr>
      </w:pPr>
      <w:r w:rsidRPr="00A4268A">
        <w:rPr>
          <w:rFonts w:eastAsia="Calibri"/>
        </w:rPr>
        <w:t xml:space="preserve">Resident information is stored securely.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information package available prior to or on entry to the service.  The registered nurses are responsible for each stage of service provision.  The registered nurses assess, plan and review residents' needs, outcomes, and goals with the resident and/or family/whānau input.  Care plans viewed demonstrate service integration and are evaluated at least six monthly.  Resident files include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and senior healthcare assistants are responsible for administration of medicines and complete annual education and medication competencies.  The medicine charts reviewed met legislative prescribing requirements. </w:t>
      </w:r>
    </w:p>
    <w:p w:rsidRPr="00A4268A" w:rsidP="00621629">
      <w:pPr>
        <w:spacing w:before="240" w:line="276" w:lineRule="auto"/>
        <w:rPr>
          <w:rFonts w:eastAsia="Calibri"/>
        </w:rPr>
      </w:pPr>
      <w:r w:rsidRPr="00A4268A">
        <w:rPr>
          <w:rFonts w:eastAsia="Calibri"/>
        </w:rPr>
        <w:t xml:space="preserve">The activity coordinators provide and implement an interesting and varied activity programme.  The programme includes community visitors and outings, entertainment and activities that meet the individual recreational, physical, cultural and cognitive abilities and preferences for each resident group.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Resident bedrooms are personalised.  Documented policies and procedures for the cleaning and laundry services are implemented with appropriate monitoring systems in place to evaluate the effectiveness of these services.  Documented systems are in place for essential, emergency and security services.  There is a staff member on duty at all times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approval process for enabler use is activated when a resident voluntarily requests an enabler to assist them to maintain independence and/or safety.  Processes to assess for the need for restraint, consent by family and the general practitioner, care planning and monitoring of any use of restraint are in place with evaluation overall of use of restraint completed as per policy.  There are two residents at the service using enablers and three residents with restraint.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Responsibility for infection control is the clinical nurse manager.  The infection control coordinator has completed on-line training.  Staff complete annual training on infection control.  There is a suite of infection control policies and guidelines to support practice.  Information obtained through surveillance is used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29"/>
        <w:gridCol w:w="1280"/>
        <w:gridCol w:w="902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to ensure consumer rights are respected by staff.  Staff receive education during orientation and ongoing training on consumer rights is included in the staff annual training schedule.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Managers (including the general manager and clinical nurse manager) and staff interviewed (including four caregivers; two registered nurses; the diversional therapist and activities coordinator; household staff including the cook, maintenance, laundry and cleaner) are all able to articulate knowledge of the Health and Disability Commissioner’s Health and Disability Services Consumers' Rights (the Code) and how to apply this as part of their everyday practice.  Staff interviewed confirm they receive ongoing education on the Code and they are able to articulate how they apply this knowledge to everyday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observations during the audit and the review of clinical records and other documentation indicate that staff are respectful of residents and incorporate the principals of the Code into their practice.  The service provides information on the Code to families and residents on admission.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state that they receive services as per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in place.  Documentation of consent is included in each resident’s record.  Staff use verbal consents as part of daily service provision.  Staff demonstrate an understanding of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consent issues are discussed with the relatives and residents on admission.  All residents' files reviewed include documented written consent.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reflects evidence and best practice around advanced directives.  Residents deemed competent by the general practitioners complete an advance directive if they chose.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regarding advocacy and/or support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Advocates can be accessed through the Nationwide Health and Disability Advocacy Service if required.  The Nationwide Health and Disability Advocacy Service brochure is offered to the resident and their family/whānau on admission.  These brochures are also displayed in the entrance foyer.  Education on advocacy is provided to staff during orientation and in the ongoing in-service programme.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 they are aware that advocacy services are available should they be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open access to visitors of their choice.  Resident safety and well-being is not compromised by visitors to the service.  Access to community support/interest groups is facilitated for residents as appropriate.  The activities staff are available to take residents on community visits and staff are available to take people to appointments if family are not able to provide transport.  There is a volunteer who can drive residents into the community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 they can have access to visitors of their choice at any time and are supported to access services within the community.  Family were seen visiting residents on the days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management policy and procedure is documented and follows Right 10 of the Code.  The complaints policy and procedure is explained by the staff as part of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complaint forms available at the main entrance to the building.  The general manager manages resident complaints.  An up-to-date resident complaints register is maintained as part of the Towards Improving Services (TIS) forms, with these including a monthly register of any complaints. </w:t>
            </w:r>
          </w:p>
          <w:p w:rsidR="00EB7645" w:rsidRPr="00BE00C7" w:rsidP="00BE00C7">
            <w:pPr>
              <w:pStyle w:val="OutcomeDescription"/>
              <w:spacing w:before="120" w:after="120"/>
              <w:rPr>
                <w:rFonts w:cs="Arial"/>
                <w:b w:val="0"/>
                <w:lang w:eastAsia="en-NZ"/>
              </w:rPr>
            </w:pPr>
            <w:r w:rsidRPr="00BE00C7">
              <w:rPr>
                <w:rFonts w:cs="Arial"/>
                <w:b w:val="0"/>
                <w:lang w:eastAsia="en-NZ"/>
              </w:rPr>
              <w:t>Three complaints were tracked with these resolved in a timely manner as per policy.  Staff, residents and families interviewed have a good understanding of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and residents interviewed state that they have not had to complain formally but state that any suggestions are treated seriously, with improvements when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complaints from external authorities since the last audit as confirmed by the general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the Code and the Nationwide Health and Disability Advocacy Service is displayed in the facility and included in the admission information pack.  The Code and other rights and information in the information pack are discussed with residents and relatives on admission.</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 that the Code, the advocacy service and residents’ rights are explained on admission.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range of policies and procedures in place to ensure residents are treated with respect.  Staff endeavour to maximise residents’ independence.  There is respect for residents' spiritual, cultural and other personal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philosophy that promotes dignity and respect and quality of life.  Residents’ support needs are assessed using a holistic approach.  The assessment process includes gaining details regarding people’s beliefs and values.  Residents and family confirm that they are included in the care planning process and are addressed by their preferred name.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state that they support the residents' independence by encouraging them to be as active as possible.  Caregivers can describe how they encourage each resident to remain involved in and with the community.  Residents interviewed could describe how they were supported to visit friends and were observed to be in the township. </w:t>
            </w:r>
          </w:p>
          <w:p w:rsidR="00EB7645" w:rsidRPr="00BE00C7" w:rsidP="00BE00C7">
            <w:pPr>
              <w:pStyle w:val="OutcomeDescription"/>
              <w:spacing w:before="120" w:after="120"/>
              <w:rPr>
                <w:rFonts w:cs="Arial"/>
                <w:b w:val="0"/>
                <w:lang w:eastAsia="en-NZ"/>
              </w:rPr>
            </w:pPr>
            <w:r w:rsidRPr="00BE00C7">
              <w:rPr>
                <w:rFonts w:cs="Arial"/>
                <w:b w:val="0"/>
                <w:lang w:eastAsia="en-NZ"/>
              </w:rPr>
              <w:t>A policy is available for staff to assist residents in managing personal practices and/or expressions of sexuality and intimacy in an appropriate and discreet manner.  This includes strategies to manage any behaviours of concern.  Staff are able to describe support for residents around sexuality and intimacy.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own personal belongings are used to decorate their rooms.  Discussions of a private nature are held in the resident’s room and there are areas in the facility that can be used for private meetings.  Caregivers report that they knock on bedroom doors prior to entering rooms, ensure doors are shut when cares are being given and do not hold personal discussions in public areas.  This was observed on the days of the audit and confirmed by residents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state that staff have regard for the dignity, privacy, and independence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around abuse and neglect.  Staff can describe the process for managing any issues related to abuse and neglect.  Staff, residents and family and the general practitioner interviewed state that there is no evidence of abuse or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covering cultural safety and cultural responsiveness.  The documentation includes appropriate Māori protocols and provides guidelines for staff in care provision for Māori residents.  The documentation is referenced to the Treaty of Waitangi and includes guidelines on partnership, protection, and participation.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 an understanding of cultural safety in relation to care.  Cultural safety education is provided in the orientation programme and thereafter through refresher training at least annually. </w:t>
            </w:r>
          </w:p>
          <w:p w:rsidR="00EB7645" w:rsidRPr="00BE00C7" w:rsidP="00BE00C7">
            <w:pPr>
              <w:pStyle w:val="OutcomeDescription"/>
              <w:spacing w:before="120" w:after="120"/>
              <w:rPr>
                <w:rFonts w:cs="Arial"/>
                <w:b w:val="0"/>
                <w:lang w:eastAsia="en-NZ"/>
              </w:rPr>
            </w:pPr>
            <w:r w:rsidRPr="00BE00C7">
              <w:rPr>
                <w:rFonts w:cs="Arial"/>
                <w:b w:val="0"/>
                <w:lang w:eastAsia="en-NZ"/>
              </w:rPr>
              <w:t>There is one staff member in the service who identifies as Māori and they can support other staff with advice if required and residents who wish to speak Te Reo.  On the days of audit there were no residents who identify as Māori.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Māori support and advocacy services are available if required.  Systems are in place to allow for review processes including input from family/whānau as appropriate, for residents who identify as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guide staff on cultural safety and cultural responsiveness.  Cultural preferences are included in the assessment process on admission and individual values and beliefs are then documented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confirm their understanding of cultural safety in relation to care.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 that values and beliefs are respected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protect residents from abuse, including discrimination, coercion, harassment, and exploitation, along with actions to be taken if there is inappropriate or unlawful conduct.  Expected staff practice is outlined in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demonstrate an awareness of the importance of maintaining boundaries with residents.  Residents and relatives interviewed report that staff maintain appropriate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state that they receive a high quality of service and all state that they enjoy living at the facility.  Family also confirm residents’ acknowledgement of the quality of service.  Residents and family describe a culture of caring and support that extends over and above the expected norm. </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to guide service delivery.  Management and staff have access to, and demonstrate knowledge of, approved service standards.  Clinical staff have access to the internet and external expertise if they need to consult and/or gain further clinical knowledge or advice.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education programme includes training requirements for staff with external experts facilitating some training sessions.  Staff interviewed confirm that there is a supportive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maintains strong links with the community and she has an extensive knowledge of family/whānau links.  This includes knowledge and understanding of resident’s needs relative to their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practitioner interviewed praised the service for the quality of care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has policies covering communication, access to interpreters and the general manager maintains an open-door policy.  Information is provided in a manner that the resident can understand.  Relatives and residents state that they can discuss issues at any time with staff.  Resident meetings are conducted monthly and residents interviewed confirm that these are useful forums to raise any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and accident forms include an area to document if the relatives have been contacted following an incident or accident.  Not all are completed as per policy.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 that they are kept well informed, and that management and staff communicate in an open manner.  Relatives confirm that they are advised if there is a change in their family member's health status.  The general practitioner interviewed, reported satisfaction with communication by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Interpreting services are available through the district health board.  There are no residents requiring the use of interpreting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Tairua Residential Care has been in operation since April 2011 and is privately owned.  The service provides for residents requiring rest home or hospital level of care with 29 residents requiring rest home level of care (32 beds identified as being available for residents requiring rest home level of care including one resident on respite), and 11 requiring hospital level care (12 available beds) including one on ACC.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philosophy, mission statement and values are documented and known to staff, residents and family members.  The mission statement is ‘to assist residents, respectfully and with dignity; to safely enjoy life, love and laughter in their own way, time and space’.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Organisational performance is monitored by the general manager with the clinical nurse manager taking clinical oversight along with the general manager.  The general manager has over 40 years nursing experience and 20 years’ experience in rest home and hospital management.  They have maintained training relevant to clinical and management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nurse manager is a registered nurse with a current practising certificate and has been in the role for over a year.  Prior to this she was employed by the district health board as a solicitor and prior to that as infection control nurse specialist.  She has 18 months experience in aged care and over 15 years’ experience in nursing and in management roles.  </w:t>
            </w:r>
          </w:p>
          <w:p w:rsidR="00EB7645" w:rsidRPr="00BE00C7" w:rsidP="00BE00C7">
            <w:pPr>
              <w:pStyle w:val="OutcomeDescription"/>
              <w:spacing w:before="120" w:after="120"/>
              <w:rPr>
                <w:rFonts w:cs="Arial"/>
                <w:b w:val="0"/>
                <w:lang w:eastAsia="en-NZ"/>
              </w:rPr>
            </w:pPr>
            <w:r w:rsidRPr="00BE00C7">
              <w:rPr>
                <w:rFonts w:cs="Arial"/>
                <w:b w:val="0"/>
                <w:lang w:eastAsia="en-NZ"/>
              </w:rPr>
              <w:t>Both the clinical nurse manager and the general manager have completed at least eight hours of education in the last year to maintain their practising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business plan for 2018 is documented and this includes business goals and objectives, accountabilities, timeframes and measures to report against.  There is an annual review of the business goals with recommendations for the next business plan.  Recommendations are linked to recent changes in legislation.  An organisational risk management plan is documented with this reviewed annually and as changes occur.  A marketing plan is documented and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is a registered nurse and provides a leadership role.  She is knowledgeable and experienced, with staff stating that the general manager provides leadership for the organisation.  The clinical nurse manager has prior experience in management roles at the district health board and is able to provide cover for the general manager in the event of her absence.  The general manager also states that she is always in phone contact even if absent.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identifies objectives for the service.  A quality plan is documented with goals, accountabilities, timeframes and measures to report against.  There is an annual review of the quality plan with this completed in December 2017.  Goals are also discussed on a monthly basis at the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within the quality and risk management programme include health and safety, adverse event reporting, infection prevention and restraint minimisation.  There are policies in place that have been reviewed at least two yearly with documentation of links to legislation and evidence.  Policies include reference to changes in practice such as interRAI, Health and Safety at Work legislation and pressure injuries.  A document control system is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related data and outcomes are collated.  There are monthly staff and registered nurse meetings held to discuss issues with documentation in meeting minutes evidencing clinical review and discussion.  All aspects of the quality programme are linked to the meetings, including infection control (refer 3.5); complaints; incidents and accidents; goals; human resources and other.  Staff interviewed describe understanding and implementing the quality and risk management programme.  There are monthly resident meetings and family are able to attend if they wish.  There is evidence of discussion and feedback on any areas for improvement identified.  Corrective action plans are documented with evidence of resolution of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internal audit schedule that is implemented as per documented timeframes.  Corrective action plans documented show evidence of resolution of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requirements are being met, including hazard identification.  A substance register identifies hazards associated with chemicals and there are material safety data sheets.  Managers, staff, residents and family can describe input into the health and safety programme through relevant meetings and through discussions with the clinical nurse manager or general manager.  A health and safety officer is appointed to the service to provide oversight of implementation of the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system in place for managing adverse events (both clinical and non-clinical).  A review of the adverse event reporting system confirmed that incidents and accidents are being reported.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forms completed show evidence of immediate responses, investigations and remedial actions being implemented as required.  Incidents that are unwitnessed or that include an injury to the head show that neurological recordings are taken for a sustained period.  The review confirms that documented incidents and accidents are closed mostly in a timely manner with actions taken to address issues raised.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and clinical nurse manager understand their statutory and/or regulatory obligations in relation to essential notification reporting and the correct authority is notified where required.  There have not been any incidents that have had to be reported to external authorities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established system in place for human resource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records reviewed include an employment agreement and a position description is on file.  Staff do not always have criminal vetting prior to appointment and an improvement is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Professional qualifications are validated with a current annual practicing certificate on file for registered nurses; the medical officer; physiotherapist and pharmacist.  All staff receive an orientation and participate in ongoing education when this is offered.  Performance appraisals are completed for all staff who have been employed for 12 months or more.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registered nurse in charge on each shift.  Files of registered nurses reviewed hold current first aid certificates.  Other staff also have a first aid certificate with these including the cook and the diversional therapist.  There are two registered nurses training in interRAI and the clinical nurse manager has completed the management component of interRAI.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training plan that is implemented and attended routinely by most staff.  Attendance records are kept for each session with documentation of what is covered in each session.  Staff state that they find the training relevant to their roles.  Some sessions are facilitated by a registered nurse and at times, there are sessions facilitated by specialists from the district health board or other providers such as Hospice. </w:t>
            </w:r>
          </w:p>
          <w:p w:rsidR="00EB7645" w:rsidRPr="00BE00C7" w:rsidP="00BE00C7">
            <w:pPr>
              <w:pStyle w:val="OutcomeDescription"/>
              <w:spacing w:before="120" w:after="120"/>
              <w:rPr>
                <w:rFonts w:cs="Arial"/>
                <w:b w:val="0"/>
                <w:lang w:eastAsia="en-NZ"/>
              </w:rPr>
            </w:pPr>
            <w:r w:rsidRPr="00BE00C7">
              <w:rPr>
                <w:rFonts w:cs="Arial"/>
                <w:b w:val="0"/>
                <w:lang w:eastAsia="en-NZ"/>
              </w:rPr>
              <w:t>Medicines are given by registered nurses and caregivers who have been assessed as competent.  Staff participate in meetings and confirm that they are kept up-to-date on changes occurring within the service or matters of concern through handover and open dialogue with the general manager and the clinical nurse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process for determining provider levels and skill mix is defined in policy and considers the layout facility and levels of care provided.  The general manager develops staff rosters.  Rosters and staff interviewed and observation on the days of audit confirmed there were sufficient numbers of staff in each area to meet minimum requirements as specified in the Aged Residential Care Agreement.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are on duty each shift and are supported by caregivers including staff who have been working in the service for between one and over ten years.  There is a low rate of staff turnover.  The clinical nurse manager is on-site Monday to Friday.  Staff are rostered onto one of three shifts and allocated to hospital or rest home wings.  There are five caregivers on duty in the morning; three in the afternoon as well as a short-shift and one overnight.  Acuity and numbers of residents is considered when rostering staff.  Rosters reviewed confirmed that there is always a replacement staff member when a rostered staff is on leave.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lives close by and is on call at all times.  Staff state that the general manager (or registered nurse if relieving) respond immediately in the event of an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staff member on duty on each shift, with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Paper-based resident records are maintained for each resident.  All records are maintained confidentially.  The resident records are stored in a secure manner.  The files record information for ongoing care and support being provided.  Records are integrated.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of past and present residents is maintained.  InterRAI assessments are completed by the registered nurses and inform the development of the resident’s plan of care.  Progress records are clearly documented by the care staff in the paper-based record.  The date, time, signatures and designation of those entering into the records is legible.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timely and respectful manner.  Admission information packs on the services for rest home and hospital level care, are provided for families and residents prior to admission or on entry to the service.  All admission agreements reviewed were signed by the service and by family or resident.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are coordinated in collaboration with the resident and family to ensure continuity of care.  There are documented policies and procedures to ensure exit, discharge or transfer of residents is undertaken in a timely and safe manner.  The residents and their families are involved for all exits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service uses a paper-based medication system.  Clinical staff who administer medications; RNs, EN and senior healthcare assistants who have been assessed for competency on an annual basis and attend annual medication education.  All medication is checked on delivery against the medication chart.  All medication is stored safely in the designated medication areas in the rest home and hospital unit.  Medication fridges are maintained within the acceptable temperature range.  All eye drops, and ointments were dated on opening.  Three monthly GP reviews are documented on the medication chart and/or through the GP documentation in the resident’s file.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self-medicating on the day of audit.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Fourteen medication charts reviewed (seven rest home and seven hospital level residents) met legislative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the service are prepared and cooked on-site.  The kitchen was observed to be clean and well run.  All temperatures were monitored including fridges, freezer and meals on serving.  The menu had been reviewed by a dietitian in 2016 and was currently under review.  Kitchen staff were trained in safe food handling, and food safety procedures were adhered to.  Staff were observed delivering meals and assisting residents with their lunchtime meals as required.  Diets were modified as required.  Resident dietary profiles and likes and dislikes were known to food services staff and any changes were communicated to the kitchen via the registered nurse.  Resident meetings and surveys allowed for the opportunity for resident feedback on the meals and food services generally.  Interviews with residents and family members indicated satisfaction with the food service.  Alternatives are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to service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completes an initial assessment and care plan on admission, including a clinical risk assessment and relevant risk assessment tools (link to 1.3.3.3 for timeliness of interRAI assessments).  Resident needs and supports were identified through available information such as discharge summaries, medical notes and in consultation with significant others.  A respite resident did not have an up-to-date assessment and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evidenced resident and family/whānau involvement in the care plan process.  Relatives interviewed confirmed they are involved in the care planning process.  Resident files demonstrate service integration.  There was evidence of allied healthcare professionals involved in the care of the resident including: physiotherapist, podiatrist, and dietitian, wound care nurse specialist and older person’s mental health services.</w:t>
            </w:r>
          </w:p>
          <w:p w:rsidR="00EB7645" w:rsidRPr="00BE00C7" w:rsidP="00BE00C7">
            <w:pPr>
              <w:pStyle w:val="OutcomeDescription"/>
              <w:spacing w:before="120" w:after="120"/>
              <w:rPr>
                <w:rFonts w:cs="Arial"/>
                <w:b w:val="0"/>
                <w:lang w:eastAsia="en-NZ"/>
              </w:rPr>
            </w:pPr>
            <w:r w:rsidRPr="00BE00C7">
              <w:rPr>
                <w:rFonts w:cs="Arial"/>
                <w:b w:val="0"/>
                <w:lang w:eastAsia="en-NZ"/>
              </w:rPr>
              <w:t>Resident care plans reviewed did not include all care and support as documented in interRAI assessments, progress notes or other assessments.  Short-term care plans are used for changes to health status and sighted in resident electronic files, (eg, infections and wounds).  Handovers evidenced that in-depth resident information is discussed to ensure safe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documented evidence in the progress notes of family/whānau contact in each resident file that indicates family were involved in care planning.  Discussions with families confirm they are aware of the care and support provided.  The GP confirmed on interview that care interventions are appropriate and that GP instruction is implemented.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treatment rooms.  Wound management policies and procedures are in place.  The hospital had four residents with five wounds (skin tears and scratches and one donor site).  Three further residents had healed wounds and were included in the wound log to ensure regular checking.  In the rest home there were five residents with wounds; one resident with two pressure injuries.  Other residents had wounds such as, cracked heals, lesions skin tears and a bunion.  There is evidence of the wound nurse specialist involvement in wound management.  All residents had documented assessments, wound management plans and evaluations documented.</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identified in resident files and include a urinary continence assessment, bowel management, and continence products identified.  There is access to a continence nurse specialist by referral.  Nutritional requirements and assessments are completed on admission, identifying resident nutritional status and preferences.  Monitoring forms are used for weight, vital signs, blood sugar levels, pain, challenging behaviour, food and fluid charts.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employs one diversional therapist and activity coordinator.  The programme is planned monthly and activities planned on the day were displayed on noticeboards around the facility.  Resident files include a personalised activities assessment and plan.  The programme is Monday to Friday and integrated to meet the physical and psychosocial well-being of the residents.  The programme includes; outdoor garden activities, including garden walks, poetry reading, exercises for both the less mobile and the more active, a daily walking group (volunteers assist so that residents in wheelchairs can come along).  There are regular outings into the community.  The service has a van for regular outings.  One-on-one activities such as individual walks, reading and chats and hand massage occur for residents who choose not to be involved in group activities.  Themes and events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An activities resident profile is completed on admission.  Individual activity plans were seen in long-term resident files.  The activity team is involved in the six-monthly review with the RN.  The service receives feedback and suggestions for the programme through monthly resident meetings and direct feedback from residents and families.  Residents and families interviewed said the activities programme was very good.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Written evaluations are undertaken using the interRAI tool or updated through the care plan process.  The GP reviews the residents at least three monthly or earlier if required.  The ACC resident had documented evaluation though the ACC team.  Short-term care plans reviewed had been evaluated at regular intervals.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for chemicals are readily accessible for staff.  Chemicals are stored in locked areas throughout the facility.  Personal protective clothing is available for staff and seen to be worn by staff when carrying out their duties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displays a current building warrant of fitness, which expires on 22 September 2018.  The service employs a maintenance person, three days a week.  Daily maintenance requests are addressed.  There is an annual maintenance plan, which includes six monthly building compliance checks, (eg, hot water temperature, call bells, resident equipment and safety checks).  Medical equipment and electrical appliances have been tested and tagged and calibrated.  Essential contractors are available 24-hours.  The facility has wide corridors with sufficient space for residents to safely mobilise using mobility aids.  There is safe access to the outdoor areas and courtyards on the ground floor.  There is a designated outdoor smoking area.  Seating and shade 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 home resident rooms are single rooms with hand basin and toilet in each room.  The hospital wing has communal showers and toilets available for residents use.  There are communal toilets with privacy locks located near the communal areas.  Visitor toilet facilities are available.  Residents interviewed state their privacy and dignity are maintained while attending to their personal cares and hygiene.  The communal toilets and showers are well signed and identifiable and include vacant/in-use signs.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spacious.  There is adequate room to safely manoeuvre mobility aids or hoists in hospital rooms.  Residents and families are encouraged to personalise bedrooms.  A tour of the facility evidenced personalised rooms, which included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lounge and dining room in the rest home and a smaller lounge and dining room in the hospital wing.  Meals are transported in a bain marie.  Meals were noted to be well presented and warm at meal times in both the rest home and hospital.  There are small seating and lounge areas situated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were easily accessible for the residents.  The furnishings and seating are appropriate for the consumer group.  Residents interviewed reported they are able to move around the facility and staff assist them when required.  Activities take place in any of the lounges.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There are dedicated laundry persons and cleaning staff on duty seven days a week.  The laundry and cleaning staff have completed chemical safety training and laundry processes.  Laundry is transported in covered trolleys to the laundry.  The laundry has a designated dirty to clean flow.  There is appropriate personal protective-wear readily available.  The cleaner’s trolley is stored in a locked area when not in use.  Internal audits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disaster policies and procedures are documented for the service.  There are emergency flip charts throughout the facility for all emergency disasters.  The orientation programme and annual education/training programme include fire, security and emergency/civil defence situations.  The fire evacuation scheme has been approved for the rest home and hospital.  Fire drills occur every six months.  Staff interviewed confirmed their understanding of emergency procedures.  There are adequate supplies available in the event of a civil defence emergency including food, external water tank, and gas cooking and heating.  A call bell system is in place including all resident rooms and communal areas.  Residents were observed in their rooms with their call bell within reach.  There is at least one staff member on duty 24 hours a day with a current first aid/CPR certificate.  The building is secure after-hours.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The environment is maintained at a safe and comfortable temperature with central heating, which can be adjusted to meet individual requirements, each room having individual thermostats and temperature controls.  The residents and family interviewed confirmed temperatures were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its content and detail, is appropriate for the size, complexity and degree of risk associated with the service.  It is linked into the quality management system with infection control reports presented at the monthly staff meeting.  A registered nurse (clinical nurse manager) is the designated infection control coordinator.  Internal audits have been conducted and include hand hygiene and infection control practices.  Education is provided for all new staff on orientation.  The infection control programme has been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for the size and complexity of the organisation.  The IC nurse was an infection control coordinator for the DHB in her previous role, and has external support from the IC nurse specialist at the DHB.  Infection prevention and control is part of staff orientation and induction.  Hand washing facilities are available throughout the facility and alcohol hand gel is freely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policies and procedures are appropriate for the size and complexity of the service and have been reviewed by the IC coordinator and team.  The infection control manual outlines a comprehensive range of policies, standards and guidelines and includes defining roles, responsibilities and oversight, the infection control team and training and education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and is included in the annual training plan.  The infection control coordinator links to the IC team at the DHB.  Visitors are advised of any outbreaks of infection and are advised not to attend until the outbreak has been resolved.  Information is provided to residents and visitors that is appropriate to their needs and this is documented in their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is reported at the monthly staff meetings.  Data and graphs of infection events are available to staff.  Trends are identified, analysed and preventative measures put in place.  </w:t>
            </w:r>
          </w:p>
          <w:p w:rsidR="00EB7645" w:rsidRPr="00BE00C7" w:rsidP="00BE00C7">
            <w:pPr>
              <w:pStyle w:val="OutcomeDescription"/>
              <w:spacing w:before="120" w:after="120"/>
              <w:rPr>
                <w:rFonts w:cs="Arial"/>
                <w:b w:val="0"/>
                <w:lang w:eastAsia="en-NZ"/>
              </w:rPr>
            </w:pPr>
            <w:r w:rsidRPr="00BE00C7">
              <w:rPr>
                <w:rFonts w:cs="Arial"/>
                <w:b w:val="0"/>
                <w:lang w:eastAsia="en-NZ"/>
              </w:rPr>
              <w:t>Systems in place are appropriate to the size and complexity of the facility, there have been no outbreaks in the last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around use of enablers and restraint.  The process of assessment, care planning, monitoring and evaluation of restraint and enabler use is recorded.  There are two residents at the service using enablers and three residents using restraint at time of audit (bedrails and one having access to a lap belt if required).  There is evidence that staff use strategies to minimise restraint and restraint practices are the last resort.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approval process for enabler use is activated when a resident voluntarily requests an enabler to assist them to maintain independence and/or safety, confirmed at staff and management interviews.  One resident record was reviewed for a resident using an enabler.  The review confirms that an assessment had been completed and the care plan referred to the use of the enabler (bedrail).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Lines of responsibility for the restraint process including approval of the use of restraint is documented in the policy.  The service has a process for determining approval of the types of restraint used and this is implemented when required.  Each record reviewed (two where a resident used a bedrail identified as restraint) included a consent form for the use of the restraint that was signed by the general practitioner, the restraint coordinator (general manager) and the family member.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completing the interRAI and care plan completes a restraint assessment prior to commencement of any restraint.  Two resident records reviewed confirm that all have an interRAI assessment that refers to the use of restraint and an assessment completed specifically for use of the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are implemented prior to use of restraint to prevent the resident from incurring injury.  The strategies are documented in the restraint care plan and referenced also in the long-term care plan.  Staff and management interviews confirmed knowledge of the strategies documented with these individualised to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described as being the last resort.  The two files reviewed confirmed that the environment is considered prior to using restraint; that the reasons and desired outcomes for use of the restraint are documented and any alternative interventions of outcomes are considered.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 of the restraint is updated when any new restraint is used or following a reassessment or care plan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evaluated for its effectiveness and need of continuity.  Documentation was sighted in the progress notes of the residents regarding restraint related matters.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monitoring form with staff checking to ensure that the restraint is used correctly and that there are no negative outcomes for the resident while the restraint is in use.  Staff check four hours or more frequently if required with monitoring forms confirming that these are carried out in a timely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individual resident’s restraint reviews and restraint register updates are conducted.  Staff interviews confirmed their awareness of the residents who require restraint and the residents who requested the use of enablers.  The staff meeting minutes record discussions on restraint.  Residents’ progress notes evidence restraint is monitored and evaluated at each shift, when in use.  The observed handover confirms that any use of restraint is discussed with outcomes of use confirmed.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incident forms did not identify any poor outcomes from the use of restraint.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6"/>
        <w:gridCol w:w="1280"/>
        <w:gridCol w:w="3031"/>
        <w:gridCol w:w="6687"/>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1.1.9.1</w:t>
            </w:r>
          </w:p>
          <w:p w:rsidR="00EB7645" w:rsidRPr="00BE00C7" w:rsidP="00BE00C7">
            <w:pPr>
              <w:pStyle w:val="OutcomeDescription"/>
              <w:spacing w:before="120" w:after="120"/>
              <w:rPr>
                <w:rFonts w:cs="Arial"/>
                <w:b w:val="0"/>
                <w:lang w:eastAsia="en-NZ"/>
              </w:rPr>
            </w:pPr>
            <w:r w:rsidRPr="00BE00C7">
              <w:rPr>
                <w:rFonts w:cs="Arial"/>
                <w:b w:val="0"/>
                <w:lang w:eastAsia="en-NZ"/>
              </w:rPr>
              <w:t>Consumers have a right to full and frank information and open disclosure from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accident, incident and open disclosure policy states that relatives are to be informed of any incident or accident.  The form used to record an incident, accident or near miss allows for documentation of disclosure to family.  Twenty-five percent of incidents or accidents in January 2018 and December 2017 did not include documentation as to whether the family had been contacted.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Towards Improving Services (TIS) forms that record incidents and accidents include documentation as to whether family have been informed.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relatives are informed of any incident or accident as per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around human resources.  These include the need for reference checking and criminal vetting.  Two of the seven staff files include evidence of criminal vetting and one has evidence of reference checking.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staff files include evidence of reference checking and criminal vetting.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staff are checked through criminal vetting and reference checking.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two interRAI trained staff.  An RN has been dedicated to interRAI assessments as part of the services plan to ensure consistency of assessment and timeliness of assessments.  This process has recently commenced and interRAI were not up-to-date at the time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assessments have not been documented according to set timeframes.  (i) Two hospital residents did not have an initial interRAI within 21 days; one admitted November 2017 has no interRAI documented and one was four months post admission; (ii) one hospital resident has a gap of eight months between the last and the most recent interRAI, and (iii) one rest home has gaps varying between six to nine months between routine assessments.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interRAI assessments are documented according to set timeframes.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processes in place for all new admissions.  There are documents, initial clinical assessments and initial/short stay templates in place.  Long-term resident files reviewed all had an initial assessment and care plan in place prior to development of the long-term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respite resident (rest home) assessments and care plan were from the previous admission and not reviewed/updated for this admission.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new/re-admission admissions have updated assessments and care plans.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seven resident files reviewed have a documented care plan in place.  Care staff interviewed are very knowledgeable regarding care and support needs for the residents.  Both resident’s and relatives felt that the care was very good.  Care interventions were not documented for all aspects of care.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(1)Rest home: One resident file had a history of weight loss but no interventions to address this, a behaviour management chart was documented for this resident, but there were no interventions for managing challenging behaviour. </w:t>
            </w:r>
          </w:p>
          <w:p w:rsidR="00EB7645" w:rsidRPr="00BE00C7" w:rsidP="00BE00C7">
            <w:pPr>
              <w:pStyle w:val="OutcomeDescription"/>
              <w:spacing w:before="120" w:after="120"/>
              <w:rPr>
                <w:rFonts w:cs="Arial"/>
                <w:b w:val="0"/>
                <w:lang w:eastAsia="en-NZ"/>
              </w:rPr>
            </w:pPr>
            <w:r w:rsidRPr="00BE00C7">
              <w:rPr>
                <w:rFonts w:cs="Arial"/>
                <w:b w:val="0"/>
                <w:lang w:eastAsia="en-NZ"/>
              </w:rPr>
              <w:t>(2) Hospital: (i) One resident has a history of weight loss but no interventions to manage this.  There were no interventions to manage behaviour that challenges (resistive behaviour, spitting, and wandering) with the care plan documenting ‘not applicable’.  Other anti-social behaviour had interventions (to close the door), however, the documented high falls risk for this resident was not reflected into the care plan with conflicting care such as wheelchair and independent with mobilising.  (ii) One resident had conflicting information regarding ‘mood’ that documented happy and low mood, with no interventions for low mood.  (iii) One resident did not have up-to-date information regarding an indwelling catheter that had since been removed, care and support for smoking and care and support needed for poor field of vision and the need to assist with direction and balance.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care plans reflect resident need and provide care interventions to manage care.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Tairua Residential Care Limited - Tairua Residential Care</w:t>
    </w:r>
    <w:bookmarkEnd w:id="58"/>
    <w:r>
      <w:rPr>
        <w:rFonts w:cs="Arial"/>
        <w:sz w:val="16"/>
        <w:szCs w:val="20"/>
      </w:rPr>
      <w:tab/>
      <w:t xml:space="preserve">Date of Audit: </w:t>
    </w:r>
    <w:bookmarkStart w:id="59" w:name="AuditStartDate1"/>
    <w:r>
      <w:rPr>
        <w:rFonts w:cs="Arial"/>
        <w:sz w:val="16"/>
        <w:szCs w:val="20"/>
      </w:rPr>
      <w:t>19 February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