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A6EC7">
      <w:pPr>
        <w:pStyle w:val="Heading1"/>
        <w:rPr>
          <w:rFonts w:cs="Arial"/>
        </w:rPr>
      </w:pPr>
      <w:bookmarkStart w:id="0" w:name="PRMS_RIName"/>
      <w:r>
        <w:rPr>
          <w:rFonts w:cs="Arial"/>
        </w:rPr>
        <w:t>Hawke's Bay District Health Board</w:t>
      </w:r>
      <w:bookmarkEnd w:id="0"/>
    </w:p>
    <w:p w:rsidR="00460D43" w:rsidRDefault="00CA6EC7">
      <w:pPr>
        <w:pStyle w:val="Heading2"/>
        <w:spacing w:after="0"/>
        <w:rPr>
          <w:rFonts w:cs="Arial"/>
        </w:rPr>
      </w:pPr>
      <w:r>
        <w:rPr>
          <w:rFonts w:cs="Arial"/>
        </w:rPr>
        <w:t>Introduction</w:t>
      </w:r>
    </w:p>
    <w:p w:rsidR="00460D43" w:rsidRDefault="00CA6EC7">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CA6EC7">
      <w:pPr>
        <w:spacing w:before="240"/>
        <w:rPr>
          <w:rFonts w:cs="Arial"/>
        </w:rPr>
      </w:pPr>
      <w:r>
        <w:rPr>
          <w:rFonts w:cs="Arial"/>
        </w:rPr>
        <w:t xml:space="preserve">The audit </w:t>
      </w:r>
      <w:r>
        <w:rPr>
          <w:rFonts w:cs="Arial"/>
        </w:rPr>
        <w:t xml:space="preserve">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CA6EC7">
      <w:pPr>
        <w:spacing w:before="240"/>
        <w:rPr>
          <w:rFonts w:cs="Arial"/>
        </w:rPr>
      </w:pPr>
      <w:r>
        <w:rPr>
          <w:rFonts w:cs="Arial"/>
          <w:lang w:eastAsia="en-NZ"/>
        </w:rPr>
        <w:t>The abbreviations used in this report are the same as those speci</w:t>
      </w:r>
      <w:r>
        <w:rPr>
          <w:rFonts w:cs="Arial"/>
          <w:lang w:eastAsia="en-NZ"/>
        </w:rPr>
        <w:t xml:space="preserve">fied in section 10 of the </w:t>
      </w:r>
      <w:r>
        <w:rPr>
          <w:rFonts w:cs="Arial"/>
        </w:rPr>
        <w:t>Health and Disability Services (General) Standards (NZS8134.0:2008).</w:t>
      </w:r>
    </w:p>
    <w:p w:rsidR="00460D43" w:rsidRDefault="00CA6EC7"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CA6EC7">
      <w:pPr>
        <w:spacing w:before="240" w:after="240"/>
        <w:rPr>
          <w:rFonts w:cs="Arial"/>
          <w:lang w:eastAsia="en-NZ"/>
        </w:rPr>
      </w:pPr>
      <w:r>
        <w:rPr>
          <w:rFonts w:cs="Arial"/>
          <w:lang w:eastAsia="en-NZ"/>
        </w:rPr>
        <w:t>The specifics of this audit included:</w:t>
      </w:r>
    </w:p>
    <w:p w:rsidR="009D18F5" w:rsidRPr="009D18F5" w:rsidRDefault="00CA6EC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A6EC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Hawke's Bay District Health Board</w:t>
      </w:r>
      <w:bookmarkEnd w:id="4"/>
    </w:p>
    <w:p w:rsidR="005A5115" w:rsidRPr="009418D4" w:rsidRDefault="00CA6E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Premises audited:</w:t>
      </w:r>
      <w:r w:rsidRPr="009418D4">
        <w:rPr>
          <w:rFonts w:cs="Arial"/>
        </w:rPr>
        <w:tab/>
      </w:r>
      <w:bookmarkStart w:id="5" w:name="PRMS_PremisesAudited"/>
      <w:r>
        <w:rPr>
          <w:rFonts w:cs="Arial"/>
        </w:rPr>
        <w:t xml:space="preserve">Central Hawkes Bay Health Centre, </w:t>
      </w:r>
      <w:r>
        <w:rPr>
          <w:rFonts w:cs="Arial"/>
        </w:rPr>
        <w:t>Hawke's Bay Hos</w:t>
      </w:r>
      <w:r>
        <w:rPr>
          <w:rFonts w:cs="Arial"/>
        </w:rPr>
        <w:t xml:space="preserve">pital, </w:t>
      </w:r>
      <w:r>
        <w:rPr>
          <w:rFonts w:cs="Arial"/>
        </w:rPr>
        <w:t xml:space="preserve">Springhill Treatment Centre, </w:t>
      </w:r>
      <w:r>
        <w:rPr>
          <w:rFonts w:cs="Arial"/>
        </w:rPr>
        <w:t>Wairoa Hospital &amp; Health Centre</w:t>
      </w:r>
      <w:bookmarkEnd w:id="5"/>
    </w:p>
    <w:p w:rsidR="005A5115" w:rsidRPr="009418D4" w:rsidRDefault="00CA6E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Children's health services; Residential disability services - </w:t>
      </w:r>
      <w:r>
        <w:rPr>
          <w:rFonts w:cs="Arial"/>
        </w:rPr>
        <w:t>Psychiatric; Hospital services - Surgical services; Hospital services - Maternity services</w:t>
      </w:r>
      <w:bookmarkEnd w:id="6"/>
    </w:p>
    <w:p w:rsidR="005A5115" w:rsidRPr="009418D4" w:rsidRDefault="00CA6EC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January 2018</w:t>
      </w:r>
      <w:bookmarkEnd w:id="7"/>
      <w:r w:rsidRPr="009418D4">
        <w:rPr>
          <w:rFonts w:cs="Arial"/>
        </w:rPr>
        <w:tab/>
        <w:t xml:space="preserve">End date: </w:t>
      </w:r>
      <w:bookmarkStart w:id="8" w:name="AuditEndDate"/>
      <w:r>
        <w:rPr>
          <w:rFonts w:cs="Arial"/>
        </w:rPr>
        <w:t>25 January 2018</w:t>
      </w:r>
      <w:bookmarkEnd w:id="8"/>
    </w:p>
    <w:p w:rsidR="005A5115" w:rsidRPr="009418D4" w:rsidRDefault="00CA6EC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CA6EC7" w:rsidP="00CA6EC7">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w:t>
      </w:r>
      <w:r w:rsidRPr="009D18F5">
        <w:rPr>
          <w:rFonts w:cs="Arial"/>
          <w:b/>
        </w:rPr>
        <w:t>luded in the audit on the first day of the audit:</w:t>
      </w:r>
      <w:r w:rsidRPr="009418D4">
        <w:rPr>
          <w:rFonts w:cs="Arial"/>
        </w:rPr>
        <w:t xml:space="preserve"> </w:t>
      </w:r>
      <w:bookmarkStart w:id="10" w:name="BedsOccupied"/>
      <w:r w:rsidRPr="009418D4">
        <w:rPr>
          <w:rFonts w:cs="Arial"/>
        </w:rPr>
        <w:t>281</w:t>
      </w:r>
      <w:bookmarkEnd w:id="10"/>
    </w:p>
    <w:p w:rsidR="00460D43" w:rsidRDefault="00CA6EC7">
      <w:pPr>
        <w:pStyle w:val="Heading1"/>
        <w:rPr>
          <w:rFonts w:cs="Arial"/>
        </w:rPr>
      </w:pPr>
      <w:r>
        <w:rPr>
          <w:rFonts w:cs="Arial"/>
        </w:rPr>
        <w:lastRenderedPageBreak/>
        <w:t>Executive summary of the audit</w:t>
      </w:r>
    </w:p>
    <w:p w:rsidR="00460D43" w:rsidRDefault="00CA6EC7">
      <w:pPr>
        <w:pStyle w:val="Heading2"/>
        <w:rPr>
          <w:rFonts w:cs="Arial"/>
        </w:rPr>
      </w:pPr>
      <w:r>
        <w:rPr>
          <w:rFonts w:cs="Arial"/>
        </w:rPr>
        <w:t>Introduction</w:t>
      </w:r>
    </w:p>
    <w:p w:rsidR="00460D43" w:rsidRDefault="00CA6EC7">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Health </w:t>
      </w:r>
      <w:r>
        <w:rPr>
          <w:rFonts w:cs="Arial"/>
          <w:lang w:eastAsia="en-NZ"/>
        </w:rPr>
        <w:t>and Disability Services Standards:</w:t>
      </w:r>
    </w:p>
    <w:p w:rsidR="00460D43" w:rsidRDefault="00CA6EC7">
      <w:pPr>
        <w:pStyle w:val="ListParagraph"/>
        <w:numPr>
          <w:ilvl w:val="0"/>
          <w:numId w:val="1"/>
        </w:numPr>
        <w:spacing w:before="240" w:after="240"/>
        <w:rPr>
          <w:rFonts w:cs="Arial"/>
          <w:lang w:eastAsia="en-NZ"/>
        </w:rPr>
      </w:pPr>
      <w:r>
        <w:rPr>
          <w:rFonts w:cs="Arial"/>
          <w:lang w:eastAsia="en-NZ"/>
        </w:rPr>
        <w:t>consumer rights</w:t>
      </w:r>
    </w:p>
    <w:p w:rsidR="00460D43" w:rsidRDefault="00CA6EC7">
      <w:pPr>
        <w:pStyle w:val="ListParagraph"/>
        <w:numPr>
          <w:ilvl w:val="0"/>
          <w:numId w:val="1"/>
        </w:numPr>
        <w:spacing w:before="240" w:after="240"/>
        <w:rPr>
          <w:rFonts w:cs="Arial"/>
          <w:lang w:eastAsia="en-NZ"/>
        </w:rPr>
      </w:pPr>
      <w:r>
        <w:rPr>
          <w:rFonts w:cs="Arial"/>
          <w:lang w:eastAsia="en-NZ"/>
        </w:rPr>
        <w:t>organisational management</w:t>
      </w:r>
    </w:p>
    <w:p w:rsidR="00460D43" w:rsidRDefault="00CA6EC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A6EC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A6EC7">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A6EC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A6EC7">
      <w:pPr>
        <w:pStyle w:val="Heading2"/>
        <w:spacing w:after="0"/>
        <w:rPr>
          <w:rFonts w:cs="Arial"/>
        </w:rPr>
      </w:pPr>
      <w:r>
        <w:rPr>
          <w:rFonts w:cs="Arial"/>
        </w:rPr>
        <w:t>General overview of the audit</w:t>
      </w:r>
    </w:p>
    <w:p w:rsidR="00E536CC" w:rsidRDefault="00CA6EC7">
      <w:pPr>
        <w:spacing w:before="240" w:line="276" w:lineRule="auto"/>
        <w:rPr>
          <w:rFonts w:eastAsia="Calibri"/>
        </w:rPr>
      </w:pPr>
      <w:bookmarkStart w:id="11" w:name="GeneralOverview"/>
      <w:r w:rsidRPr="00A4268A">
        <w:rPr>
          <w:rFonts w:eastAsia="Calibri"/>
        </w:rPr>
        <w:t>Hawke’s Bay District Health Board (HBDHB) provides services to around 161,300 people in the Hawke’s Bay district.  Hospital services are provided from the Hawke’s Bay Soldiers Memorial Hospital (Hawke’s Bay Hospital) and rural hospitals/health centres at W</w:t>
      </w:r>
      <w:r w:rsidRPr="00A4268A">
        <w:rPr>
          <w:rFonts w:eastAsia="Calibri"/>
        </w:rPr>
        <w:t>airoa, Napier, Central Hawke’s Bay (CHB) and Springhill Treatment Centre. Services include medical, surgical, maternity, paediatric, older persons/rehabilitation, and mental health and addiction services. These inpatient services are supported by a range o</w:t>
      </w:r>
      <w:r w:rsidRPr="00A4268A">
        <w:rPr>
          <w:rFonts w:eastAsia="Calibri"/>
        </w:rPr>
        <w:t xml:space="preserve">f diagnostic, support and community-based services. A strength of the DHB is its integrated approach to providing services across both primary and secondary care. </w:t>
      </w:r>
    </w:p>
    <w:p w:rsidR="00F53607" w:rsidRPr="00A4268A" w:rsidRDefault="00CA6EC7">
      <w:pPr>
        <w:spacing w:before="240" w:line="276" w:lineRule="auto"/>
        <w:rPr>
          <w:rFonts w:eastAsia="Calibri"/>
        </w:rPr>
      </w:pPr>
      <w:r w:rsidRPr="00A4268A">
        <w:rPr>
          <w:rFonts w:eastAsia="Calibri"/>
        </w:rPr>
        <w:lastRenderedPageBreak/>
        <w:t>This three-day surveillance audit, against a subset of the Health and Disability Services St</w:t>
      </w:r>
      <w:r w:rsidRPr="00A4268A">
        <w:rPr>
          <w:rFonts w:eastAsia="Calibri"/>
        </w:rPr>
        <w:t>andards, included a review of management, quality and risk management systems, staffing requirements, infection prevention and control, and review of clinical records and other documentation. Interviews with patients and their families and staff across a r</w:t>
      </w:r>
      <w:r w:rsidRPr="00A4268A">
        <w:rPr>
          <w:rFonts w:eastAsia="Calibri"/>
        </w:rPr>
        <w:t>ange of roles and departments were completed and observations made. Auditors visited the Hawke’s Bay and Wairoa Hospitals and Springhill Treatment Centre.</w:t>
      </w:r>
    </w:p>
    <w:p w:rsidR="00F53607" w:rsidRPr="00A4268A" w:rsidRDefault="00CA6EC7">
      <w:pPr>
        <w:spacing w:before="240" w:line="276" w:lineRule="auto"/>
        <w:rPr>
          <w:rFonts w:eastAsia="Calibri"/>
        </w:rPr>
      </w:pPr>
      <w:r w:rsidRPr="00A4268A">
        <w:rPr>
          <w:rFonts w:eastAsia="Calibri"/>
        </w:rPr>
        <w:t xml:space="preserve">This audit identified 16 areas that require improvement across the standards. These relate to family </w:t>
      </w:r>
      <w:r w:rsidRPr="00A4268A">
        <w:rPr>
          <w:rFonts w:eastAsia="Calibri"/>
        </w:rPr>
        <w:t>violence screening, consent, policy review, adverse events management, medical credentialing at Wairoa, training and development and performance reviews, and staffing requirements. Within the clinical standards improvements are required related to planning</w:t>
      </w:r>
      <w:r w:rsidRPr="00A4268A">
        <w:rPr>
          <w:rFonts w:eastAsia="Calibri"/>
        </w:rPr>
        <w:t xml:space="preserve"> of patient care, evaluation of care, management of medicines, and the food services. The provision and use of personal protective equipment and ensuring all equipment at Wairoa meets regulatory requirements also requires attention. </w:t>
      </w:r>
    </w:p>
    <w:p w:rsidR="00F53607" w:rsidRPr="00A4268A" w:rsidRDefault="00CA6EC7">
      <w:pPr>
        <w:spacing w:before="240" w:line="276" w:lineRule="auto"/>
        <w:rPr>
          <w:rFonts w:eastAsia="Calibri"/>
        </w:rPr>
      </w:pPr>
      <w:r w:rsidRPr="00A4268A">
        <w:rPr>
          <w:rFonts w:eastAsia="Calibri"/>
        </w:rPr>
        <w:lastRenderedPageBreak/>
        <w:t>Since the previous aud</w:t>
      </w:r>
      <w:r w:rsidRPr="00A4268A">
        <w:rPr>
          <w:rFonts w:eastAsia="Calibri"/>
        </w:rPr>
        <w:t>it, improvements have been made to assuring privacy, anti-discriminatory behaviour in the mental health and addictions services, security of documentation in clinical records, transfer and discharge processes, self-administration of medicines at Springhill</w:t>
      </w:r>
      <w:r w:rsidRPr="00A4268A">
        <w:rPr>
          <w:rFonts w:eastAsia="Calibri"/>
        </w:rPr>
        <w:t xml:space="preserve"> Centre and fire evacuation practices. Work has been progressed in most other areas that required improvement, with further work underway.</w:t>
      </w:r>
    </w:p>
    <w:bookmarkEnd w:id="11"/>
    <w:p w:rsidR="00F53607" w:rsidRPr="00A4268A" w:rsidRDefault="00F53607">
      <w:pPr>
        <w:spacing w:before="240" w:line="276" w:lineRule="auto"/>
        <w:rPr>
          <w:rFonts w:eastAsia="Calibri"/>
        </w:rPr>
      </w:pPr>
    </w:p>
    <w:p w:rsidR="00460D43" w:rsidRDefault="00CA6EC7" w:rsidP="000E6E02">
      <w:pPr>
        <w:pStyle w:val="Heading2"/>
        <w:spacing w:before="0"/>
        <w:rPr>
          <w:rFonts w:cs="Arial"/>
        </w:rPr>
      </w:pPr>
      <w:r>
        <w:rPr>
          <w:rFonts w:cs="Arial"/>
        </w:rPr>
        <w:t>Consumer rights</w:t>
      </w:r>
    </w:p>
    <w:p w:rsidR="00460D43" w:rsidRDefault="00CA6EC7">
      <w:pPr>
        <w:spacing w:before="240" w:line="276" w:lineRule="auto"/>
        <w:rPr>
          <w:rFonts w:eastAsia="Calibri"/>
        </w:rPr>
      </w:pPr>
      <w:bookmarkStart w:id="12" w:name="ConsumerRights"/>
      <w:r w:rsidRPr="00A4268A">
        <w:rPr>
          <w:rFonts w:eastAsia="Calibri"/>
        </w:rPr>
        <w:t xml:space="preserve">Staff are mindful of respecting the privacy of patients, despite the environmental restrictions in several areas. Patient information is protected from unauthorised access. </w:t>
      </w:r>
    </w:p>
    <w:p w:rsidR="00F53607" w:rsidRPr="00A4268A" w:rsidRDefault="00CA6EC7">
      <w:pPr>
        <w:spacing w:before="240" w:line="276" w:lineRule="auto"/>
        <w:rPr>
          <w:rFonts w:eastAsia="Calibri"/>
        </w:rPr>
      </w:pPr>
      <w:r w:rsidRPr="00A4268A">
        <w:rPr>
          <w:rFonts w:eastAsia="Calibri"/>
        </w:rPr>
        <w:t xml:space="preserve">Within the mental health services, staff were observed to interact positively with patients and no examples of anti-discriminatory language were noted. </w:t>
      </w:r>
      <w:r>
        <w:rPr>
          <w:rFonts w:eastAsia="Calibri"/>
        </w:rPr>
        <w:t xml:space="preserve"> </w:t>
      </w:r>
      <w:r w:rsidRPr="00A4268A">
        <w:rPr>
          <w:rFonts w:eastAsia="Calibri"/>
        </w:rPr>
        <w:t>Patients and families/whānau are provided with the information they require at the appropriate times to</w:t>
      </w:r>
      <w:r w:rsidRPr="00A4268A">
        <w:rPr>
          <w:rFonts w:eastAsia="Calibri"/>
        </w:rPr>
        <w:t xml:space="preserve"> make informed decisions which includes consent for treatment.</w:t>
      </w:r>
    </w:p>
    <w:p w:rsidR="00F53607" w:rsidRPr="00A4268A" w:rsidRDefault="00CA6EC7">
      <w:pPr>
        <w:spacing w:before="240" w:line="276" w:lineRule="auto"/>
        <w:rPr>
          <w:rFonts w:eastAsia="Calibri"/>
        </w:rPr>
      </w:pPr>
      <w:r w:rsidRPr="00A4268A">
        <w:rPr>
          <w:rFonts w:eastAsia="Calibri"/>
        </w:rPr>
        <w:t>An active consumer engagement team is involved with the patient’s experience and any complaints occurring in the organisation.  Follow up acknowledgement, investigation and timeframes to resolu</w:t>
      </w:r>
      <w:r w:rsidRPr="00A4268A">
        <w:rPr>
          <w:rFonts w:eastAsia="Calibri"/>
        </w:rPr>
        <w:t>tion for complaints are completed and meet the requirements of the Code.</w:t>
      </w:r>
    </w:p>
    <w:bookmarkEnd w:id="12"/>
    <w:p w:rsidR="00F53607" w:rsidRPr="00A4268A" w:rsidRDefault="00F53607">
      <w:pPr>
        <w:spacing w:before="240" w:line="276" w:lineRule="auto"/>
        <w:rPr>
          <w:rFonts w:eastAsia="Calibri"/>
        </w:rPr>
      </w:pPr>
    </w:p>
    <w:p w:rsidR="00460D43" w:rsidRDefault="00CA6EC7" w:rsidP="000E6E02">
      <w:pPr>
        <w:pStyle w:val="Heading2"/>
        <w:spacing w:before="0"/>
        <w:rPr>
          <w:rFonts w:cs="Arial"/>
        </w:rPr>
      </w:pPr>
      <w:r>
        <w:rPr>
          <w:rFonts w:cs="Arial"/>
        </w:rPr>
        <w:t>Organisational management</w:t>
      </w:r>
    </w:p>
    <w:p w:rsidR="00460D43" w:rsidRDefault="00CA6EC7">
      <w:pPr>
        <w:spacing w:before="240" w:line="276" w:lineRule="auto"/>
        <w:rPr>
          <w:rFonts w:eastAsia="Calibri"/>
        </w:rPr>
      </w:pPr>
      <w:bookmarkStart w:id="13" w:name="OrganisationalManagement"/>
      <w:r w:rsidRPr="00A4268A">
        <w:rPr>
          <w:rFonts w:eastAsia="Calibri"/>
        </w:rPr>
        <w:t>The quality and risk management systems are well established and coordinated through the Executive Director People and Quality role and the five directorates. Work is supported by a team of quality facilita</w:t>
      </w:r>
      <w:r w:rsidRPr="00A4268A">
        <w:rPr>
          <w:rFonts w:eastAsia="Calibri"/>
        </w:rPr>
        <w:lastRenderedPageBreak/>
        <w:t>tors and other support roles who work within the d</w:t>
      </w:r>
      <w:r w:rsidRPr="00A4268A">
        <w:rPr>
          <w:rFonts w:eastAsia="Calibri"/>
        </w:rPr>
        <w:t>irectorate structure. Good examples of integrated systems were observed, with the Clinical Council and Consumer Council playing a key role, and the use of a well-developed business intelligence team to support decision making. Improvement activity was evid</w:t>
      </w:r>
      <w:r w:rsidRPr="00A4268A">
        <w:rPr>
          <w:rFonts w:eastAsia="Calibri"/>
        </w:rPr>
        <w:t xml:space="preserve">ent at all levels of the organisation, from large projects using the co-design methodology across the continuum of care (primary and secondary services), to small ward-based initiatives.  </w:t>
      </w:r>
    </w:p>
    <w:p w:rsidR="00F53607" w:rsidRPr="00A4268A" w:rsidRDefault="00CA6EC7">
      <w:pPr>
        <w:spacing w:before="240" w:line="276" w:lineRule="auto"/>
        <w:rPr>
          <w:rFonts w:eastAsia="Calibri"/>
        </w:rPr>
      </w:pPr>
      <w:r w:rsidRPr="00A4268A">
        <w:rPr>
          <w:rFonts w:eastAsia="Calibri"/>
        </w:rPr>
        <w:t>Adverse events are managed through an electronic management system,</w:t>
      </w:r>
      <w:r w:rsidRPr="00A4268A">
        <w:rPr>
          <w:rFonts w:eastAsia="Calibri"/>
        </w:rPr>
        <w:t xml:space="preserve"> with an update to the system to occur during the year. </w:t>
      </w:r>
      <w:r w:rsidRPr="00A4268A">
        <w:rPr>
          <w:rFonts w:eastAsia="Calibri"/>
        </w:rPr>
        <w:t>Risk management meets the needs of the DHB, with improvements made to support the transition to the planned updated electronic system. Managers are well versed in how to elevate risks where required.</w:t>
      </w:r>
      <w:r w:rsidRPr="00A4268A">
        <w:rPr>
          <w:rFonts w:eastAsia="Calibri"/>
        </w:rPr>
        <w:t xml:space="preserve"> </w:t>
      </w:r>
    </w:p>
    <w:p w:rsidR="00F53607" w:rsidRPr="00A4268A" w:rsidRDefault="00CA6EC7">
      <w:pPr>
        <w:spacing w:before="240" w:line="276" w:lineRule="auto"/>
        <w:rPr>
          <w:rFonts w:eastAsia="Calibri"/>
        </w:rPr>
      </w:pPr>
      <w:r w:rsidRPr="00A4268A">
        <w:rPr>
          <w:rFonts w:eastAsia="Calibri"/>
        </w:rPr>
        <w:t xml:space="preserve">Training and development opportunities are provided for all roles across the organisation. Specific educator roles support a broad array of programmes planned on </w:t>
      </w:r>
      <w:r w:rsidRPr="00A4268A">
        <w:rPr>
          <w:rFonts w:eastAsia="Calibri"/>
        </w:rPr>
        <w:lastRenderedPageBreak/>
        <w:t xml:space="preserve">a yearly basis, offered as either ‘e-learning’ or face to face sessions.  </w:t>
      </w:r>
    </w:p>
    <w:p w:rsidR="00F53607" w:rsidRPr="00A4268A" w:rsidRDefault="00CA6EC7">
      <w:pPr>
        <w:spacing w:before="240" w:line="276" w:lineRule="auto"/>
        <w:rPr>
          <w:rFonts w:eastAsia="Calibri"/>
        </w:rPr>
      </w:pPr>
      <w:r w:rsidRPr="00A4268A">
        <w:rPr>
          <w:rFonts w:eastAsia="Calibri"/>
        </w:rPr>
        <w:t>A range of mechan</w:t>
      </w:r>
      <w:r w:rsidRPr="00A4268A">
        <w:rPr>
          <w:rFonts w:eastAsia="Calibri"/>
        </w:rPr>
        <w:t>isms are used to ensure that the right numbers of staff are available to meet the changing needs of patients across the services. Good progress has been made in developing the Care Capacity Demand Management (CCDM) programme, resulting in planned increases</w:t>
      </w:r>
      <w:r w:rsidRPr="00A4268A">
        <w:rPr>
          <w:rFonts w:eastAsia="Calibri"/>
        </w:rPr>
        <w:t xml:space="preserve"> in staffing in some areas. Staff are supported by several expert roles who are working in innovative ways to support care delivery and less experienced staff.</w:t>
      </w:r>
    </w:p>
    <w:bookmarkEnd w:id="13"/>
    <w:p w:rsidR="00F53607" w:rsidRPr="00A4268A" w:rsidRDefault="00F53607">
      <w:pPr>
        <w:spacing w:before="240" w:line="276" w:lineRule="auto"/>
        <w:rPr>
          <w:rFonts w:eastAsia="Calibri"/>
        </w:rPr>
      </w:pPr>
    </w:p>
    <w:p w:rsidR="00460D43" w:rsidRDefault="00CA6EC7" w:rsidP="000E6E02">
      <w:pPr>
        <w:pStyle w:val="Heading2"/>
        <w:spacing w:before="0"/>
        <w:rPr>
          <w:rFonts w:cs="Arial"/>
        </w:rPr>
      </w:pPr>
      <w:r>
        <w:rPr>
          <w:rFonts w:cs="Arial"/>
        </w:rPr>
        <w:t>Continuum of service delivery</w:t>
      </w:r>
    </w:p>
    <w:p w:rsidR="00E536CC" w:rsidRPr="005E14A4" w:rsidRDefault="00CA6EC7" w:rsidP="00621629">
      <w:pPr>
        <w:spacing w:before="240" w:line="276" w:lineRule="auto"/>
        <w:rPr>
          <w:rFonts w:eastAsia="Calibri"/>
        </w:rPr>
      </w:pPr>
      <w:bookmarkStart w:id="14" w:name="ContinuumOfServiceDelivery"/>
      <w:r w:rsidRPr="00A4268A">
        <w:rPr>
          <w:rFonts w:eastAsia="Calibri"/>
        </w:rPr>
        <w:t>Patient care was reviewed and evaluated across services with six patients reviewed using tracer methodology in the areas of maternity, mental health, surgical, medical, and paediatrics. In addition, four s</w:t>
      </w:r>
      <w:r w:rsidRPr="00A4268A">
        <w:rPr>
          <w:rFonts w:eastAsia="Calibri"/>
        </w:rPr>
        <w:t xml:space="preserve">ystems </w:t>
      </w:r>
      <w:r w:rsidRPr="00A4268A">
        <w:rPr>
          <w:rFonts w:eastAsia="Calibri"/>
        </w:rPr>
        <w:lastRenderedPageBreak/>
        <w:t xml:space="preserve">tracers were conducted in relation to management of the deteriorating patient, medication management, prevention of falls and infection prevention and control.  The information gathered from these tracers was supported by additional sampling. </w:t>
      </w:r>
    </w:p>
    <w:p w:rsidR="00F53607" w:rsidRPr="00A4268A" w:rsidRDefault="00CA6EC7" w:rsidP="00621629">
      <w:pPr>
        <w:spacing w:before="240" w:line="276" w:lineRule="auto"/>
        <w:rPr>
          <w:rFonts w:eastAsia="Calibri"/>
        </w:rPr>
      </w:pPr>
      <w:r w:rsidRPr="00A4268A">
        <w:rPr>
          <w:rFonts w:eastAsia="Calibri"/>
        </w:rPr>
        <w:t>Care is provided by suitably qualified and experienced staff who work in a multidisciplinary manner to provide timely care. Investigations and assessments are undertaken and used to assist with developing patients’ plans of care.  Service delivery is perfo</w:t>
      </w:r>
      <w:r w:rsidRPr="00A4268A">
        <w:rPr>
          <w:rFonts w:eastAsia="Calibri"/>
        </w:rPr>
        <w:t>rmed in a timely manner.  The falls prevention programme is well established providing numerous initiatives and a reduction in frequency and severity of falls events.  Plans have been developed to make changes to the programme on detection of the deteriora</w:t>
      </w:r>
      <w:r w:rsidRPr="00A4268A">
        <w:rPr>
          <w:rFonts w:eastAsia="Calibri"/>
        </w:rPr>
        <w:t xml:space="preserve">ting patient and these are currently underway; these plans are underpinned by organisational data on current practices.  </w:t>
      </w:r>
    </w:p>
    <w:p w:rsidR="00F53607" w:rsidRPr="00A4268A" w:rsidRDefault="00CA6EC7" w:rsidP="00621629">
      <w:pPr>
        <w:spacing w:before="240" w:line="276" w:lineRule="auto"/>
        <w:rPr>
          <w:rFonts w:eastAsia="Calibri"/>
        </w:rPr>
      </w:pPr>
      <w:r w:rsidRPr="00A4268A">
        <w:rPr>
          <w:rFonts w:eastAsia="Calibri"/>
        </w:rPr>
        <w:t xml:space="preserve">Discharge planning is actively occurring.  All patients and family members interviewed were complementary about services received and </w:t>
      </w:r>
      <w:r w:rsidRPr="00A4268A">
        <w:rPr>
          <w:rFonts w:eastAsia="Calibri"/>
        </w:rPr>
        <w:t>advise ongoing communication with staff was timely and clear.</w:t>
      </w:r>
    </w:p>
    <w:p w:rsidR="00F53607" w:rsidRPr="00A4268A" w:rsidRDefault="00CA6EC7" w:rsidP="00621629">
      <w:pPr>
        <w:spacing w:before="240" w:line="276" w:lineRule="auto"/>
        <w:rPr>
          <w:rFonts w:eastAsia="Calibri"/>
        </w:rPr>
      </w:pPr>
      <w:r w:rsidRPr="00A4268A">
        <w:rPr>
          <w:rFonts w:eastAsia="Calibri"/>
        </w:rPr>
        <w:lastRenderedPageBreak/>
        <w:t>Policies and procedures provide guidance for staff on medicines management. The national medicine chart is in use. Allergies are assessed and communicated.  Medicines are stored safely and manag</w:t>
      </w:r>
      <w:r w:rsidRPr="00A4268A">
        <w:rPr>
          <w:rFonts w:eastAsia="Calibri"/>
        </w:rPr>
        <w:t xml:space="preserve">ed effectively throughout the organisation.  </w:t>
      </w:r>
    </w:p>
    <w:bookmarkEnd w:id="14"/>
    <w:p w:rsidR="00F53607" w:rsidRPr="00A4268A" w:rsidRDefault="00F53607" w:rsidP="00621629">
      <w:pPr>
        <w:spacing w:before="240" w:line="276" w:lineRule="auto"/>
        <w:rPr>
          <w:rFonts w:eastAsia="Calibri"/>
        </w:rPr>
      </w:pPr>
    </w:p>
    <w:p w:rsidR="00460D43" w:rsidRDefault="00CA6EC7" w:rsidP="000E6E02">
      <w:pPr>
        <w:pStyle w:val="Heading2"/>
        <w:spacing w:before="0"/>
        <w:rPr>
          <w:rFonts w:cs="Arial"/>
        </w:rPr>
      </w:pPr>
      <w:r>
        <w:rPr>
          <w:rFonts w:cs="Arial"/>
        </w:rPr>
        <w:t>Safe and appropriate environment</w:t>
      </w:r>
    </w:p>
    <w:p w:rsidR="00F53607" w:rsidRPr="00A4268A" w:rsidRDefault="00CA6EC7">
      <w:pPr>
        <w:spacing w:before="240" w:line="276" w:lineRule="auto"/>
        <w:rPr>
          <w:rFonts w:eastAsia="Calibri"/>
        </w:rPr>
      </w:pPr>
      <w:bookmarkStart w:id="15" w:name="SafeAndAppropriateEnvironment"/>
      <w:r w:rsidRPr="00A4268A">
        <w:rPr>
          <w:rFonts w:eastAsia="Calibri"/>
        </w:rPr>
        <w:t xml:space="preserve">Building warrants of fitness were current. Electrical testing and calibration of equipment was occurring in most areas visited. The construction of a stand-alone gastro-enterology unit is underway on the Hastings site. </w:t>
      </w:r>
      <w:r>
        <w:rPr>
          <w:rFonts w:eastAsia="Calibri"/>
        </w:rPr>
        <w:t xml:space="preserve"> </w:t>
      </w:r>
      <w:r w:rsidRPr="00A4268A">
        <w:rPr>
          <w:rFonts w:eastAsia="Calibri"/>
        </w:rPr>
        <w:t>Fire evacuation training across t</w:t>
      </w:r>
      <w:r w:rsidRPr="00A4268A">
        <w:rPr>
          <w:rFonts w:eastAsia="Calibri"/>
        </w:rPr>
        <w:t xml:space="preserve">he DHB has been completed and fire and other emergency equipment has been tested as required. Staff interviewed knew what to do in an emergency.  </w:t>
      </w:r>
    </w:p>
    <w:bookmarkEnd w:id="15"/>
    <w:p w:rsidR="00F53607" w:rsidRPr="00A4268A" w:rsidRDefault="00F53607">
      <w:pPr>
        <w:spacing w:before="240" w:line="276" w:lineRule="auto"/>
        <w:rPr>
          <w:rFonts w:eastAsia="Calibri"/>
        </w:rPr>
      </w:pPr>
    </w:p>
    <w:p w:rsidR="00460D43" w:rsidRDefault="00CA6EC7" w:rsidP="000E6E02">
      <w:pPr>
        <w:pStyle w:val="Heading2"/>
        <w:spacing w:before="0"/>
        <w:rPr>
          <w:rFonts w:cs="Arial"/>
        </w:rPr>
      </w:pPr>
      <w:r>
        <w:rPr>
          <w:rFonts w:cs="Arial"/>
        </w:rPr>
        <w:lastRenderedPageBreak/>
        <w:t>Restraint minimisation and safe practice</w:t>
      </w:r>
    </w:p>
    <w:p w:rsidR="00460D43" w:rsidRDefault="00CA6EC7">
      <w:pPr>
        <w:spacing w:before="240" w:line="276" w:lineRule="auto"/>
        <w:rPr>
          <w:rFonts w:eastAsia="Calibri"/>
        </w:rPr>
      </w:pPr>
      <w:bookmarkStart w:id="16" w:name="RestraintMinimisationAndSafePractice"/>
      <w:r w:rsidRPr="00A4268A">
        <w:rPr>
          <w:rFonts w:eastAsia="Calibri"/>
        </w:rPr>
        <w:t>The organisation has an effective policy on restraint minimisation and safe practice. A Restraint Adviso</w:t>
      </w:r>
      <w:r w:rsidRPr="00A4268A">
        <w:rPr>
          <w:rFonts w:eastAsia="Calibri"/>
        </w:rPr>
        <w:t>ry Committee has recently reconvened and actively oversees restraint use, education and monitoring based on collation and analysis of verified restraint data. Restraint improvement measures are overseen by the Restraint Advisory Committee with ongoing audi</w:t>
      </w:r>
      <w:r w:rsidRPr="00A4268A">
        <w:rPr>
          <w:rFonts w:eastAsia="Calibri"/>
        </w:rPr>
        <w:t>ts of restraint implementation. The mental health service has a restraint reduction plan supported by implementation of the national training programme, and a focus on de-escalation.</w:t>
      </w:r>
    </w:p>
    <w:p w:rsidR="00CA6EC7" w:rsidRPr="00CA6EC7" w:rsidRDefault="00CA6EC7">
      <w:pPr>
        <w:spacing w:before="240" w:line="276" w:lineRule="auto"/>
        <w:rPr>
          <w:rFonts w:asciiTheme="majorHAnsi" w:eastAsia="Calibri" w:hAnsiTheme="majorHAnsi"/>
          <w:b/>
          <w:sz w:val="32"/>
          <w:szCs w:val="32"/>
        </w:rPr>
      </w:pPr>
      <w:bookmarkStart w:id="17" w:name="InfectionPreventionAndControl"/>
      <w:bookmarkEnd w:id="16"/>
      <w:r w:rsidRPr="00CA6EC7">
        <w:rPr>
          <w:rFonts w:asciiTheme="majorHAnsi" w:hAnsiTheme="majorHAnsi" w:cs="Arial"/>
          <w:b/>
          <w:sz w:val="32"/>
          <w:szCs w:val="32"/>
        </w:rPr>
        <w:t xml:space="preserve">Infection Prevention and Control </w:t>
      </w:r>
      <w:r w:rsidRPr="00CA6EC7">
        <w:rPr>
          <w:rFonts w:asciiTheme="majorHAnsi" w:hAnsiTheme="majorHAnsi" w:cs="Arial"/>
          <w:b/>
          <w:sz w:val="32"/>
          <w:szCs w:val="32"/>
        </w:rPr>
        <w:t>Restraint</w:t>
      </w:r>
    </w:p>
    <w:p w:rsidR="00460D43" w:rsidRDefault="00CA6EC7">
      <w:pPr>
        <w:spacing w:before="240" w:line="276" w:lineRule="auto"/>
        <w:rPr>
          <w:rFonts w:eastAsia="Calibri"/>
        </w:rPr>
      </w:pPr>
      <w:r w:rsidRPr="00A4268A">
        <w:rPr>
          <w:rFonts w:eastAsia="Calibri"/>
        </w:rPr>
        <w:t>Surveillance for infections is occurring. The surveillance programme is appropriate to the service setting and includes significant organisms (including multi-drug resistant organisms), specific surgical site infections, invasive device relat</w:t>
      </w:r>
      <w:r w:rsidRPr="00A4268A">
        <w:rPr>
          <w:rFonts w:eastAsia="Calibri"/>
        </w:rPr>
        <w:t xml:space="preserve">ed infections, blood stream infections and outbreaks. The surveillance results are communicated appropriately. Policies and procedures detail when isolation precautions are required to be implemented. </w:t>
      </w:r>
      <w:bookmarkStart w:id="18" w:name="_GoBack"/>
      <w:bookmarkEnd w:id="18"/>
    </w:p>
    <w:bookmarkEnd w:id="17"/>
    <w:p w:rsidR="00F53607" w:rsidRPr="00A4268A" w:rsidRDefault="00F53607">
      <w:pPr>
        <w:spacing w:before="240" w:line="276" w:lineRule="auto"/>
        <w:rPr>
          <w:rFonts w:eastAsia="Calibri"/>
        </w:rPr>
      </w:pPr>
    </w:p>
    <w:sectPr w:rsidR="00F53607" w:rsidRPr="00A4268A" w:rsidSect="00553459">
      <w:headerReference w:type="even" r:id="rId9"/>
      <w:headerReference w:type="default" r:id="rId10"/>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6EC7">
      <w:r>
        <w:separator/>
      </w:r>
    </w:p>
  </w:endnote>
  <w:endnote w:type="continuationSeparator" w:id="0">
    <w:p w:rsidR="00000000" w:rsidRDefault="00C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EC7">
    <w:pPr>
      <w:pStyle w:val="Footer"/>
    </w:pPr>
  </w:p>
  <w:p w:rsidR="005A4A55" w:rsidRDefault="00CA6EC7"/>
  <w:p w:rsidR="005A4A55" w:rsidRDefault="00CA6EC7"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A6EC7"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Hawke's Bay District Health Board</w:t>
    </w:r>
    <w:bookmarkEnd w:id="19"/>
    <w:r>
      <w:rPr>
        <w:rFonts w:cs="Arial"/>
        <w:sz w:val="16"/>
        <w:szCs w:val="20"/>
      </w:rPr>
      <w:tab/>
      <w:t xml:space="preserve">Date of Audit: </w:t>
    </w:r>
    <w:bookmarkStart w:id="20" w:name="AuditStartDate1"/>
    <w:r>
      <w:rPr>
        <w:rFonts w:cs="Arial"/>
        <w:sz w:val="16"/>
        <w:szCs w:val="20"/>
      </w:rPr>
      <w:t>23 January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6</w:t>
    </w:r>
    <w:r>
      <w:rPr>
        <w:rFonts w:cs="Arial"/>
        <w:sz w:val="16"/>
        <w:szCs w:val="20"/>
      </w:rPr>
      <w:fldChar w:fldCharType="end"/>
    </w:r>
  </w:p>
  <w:p w:rsidR="005A4A55" w:rsidRDefault="00CA6E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6EC7">
      <w:r>
        <w:separator/>
      </w:r>
    </w:p>
  </w:footnote>
  <w:footnote w:type="continuationSeparator" w:id="0">
    <w:p w:rsidR="00000000" w:rsidRDefault="00CA6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EC7">
    <w:pPr>
      <w:pStyle w:val="Header"/>
    </w:pPr>
  </w:p>
  <w:p w:rsidR="005A4A55" w:rsidRDefault="00CA6E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EC7">
    <w:pPr>
      <w:pStyle w:val="Header"/>
    </w:pPr>
  </w:p>
  <w:p w:rsidR="005A4A55" w:rsidRDefault="00CA6E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B54962C">
      <w:start w:val="1"/>
      <w:numFmt w:val="decimal"/>
      <w:lvlText w:val="%1."/>
      <w:lvlJc w:val="left"/>
      <w:pPr>
        <w:ind w:left="360" w:hanging="360"/>
      </w:pPr>
    </w:lvl>
    <w:lvl w:ilvl="1" w:tplc="A17EFA24" w:tentative="1">
      <w:start w:val="1"/>
      <w:numFmt w:val="lowerLetter"/>
      <w:lvlText w:val="%2."/>
      <w:lvlJc w:val="left"/>
      <w:pPr>
        <w:ind w:left="1080" w:hanging="360"/>
      </w:pPr>
    </w:lvl>
    <w:lvl w:ilvl="2" w:tplc="BA32B1F8" w:tentative="1">
      <w:start w:val="1"/>
      <w:numFmt w:val="lowerRoman"/>
      <w:lvlText w:val="%3."/>
      <w:lvlJc w:val="right"/>
      <w:pPr>
        <w:ind w:left="1800" w:hanging="180"/>
      </w:pPr>
    </w:lvl>
    <w:lvl w:ilvl="3" w:tplc="131C625C" w:tentative="1">
      <w:start w:val="1"/>
      <w:numFmt w:val="decimal"/>
      <w:lvlText w:val="%4."/>
      <w:lvlJc w:val="left"/>
      <w:pPr>
        <w:ind w:left="2520" w:hanging="360"/>
      </w:pPr>
    </w:lvl>
    <w:lvl w:ilvl="4" w:tplc="CF30EB02" w:tentative="1">
      <w:start w:val="1"/>
      <w:numFmt w:val="lowerLetter"/>
      <w:lvlText w:val="%5."/>
      <w:lvlJc w:val="left"/>
      <w:pPr>
        <w:ind w:left="3240" w:hanging="360"/>
      </w:pPr>
    </w:lvl>
    <w:lvl w:ilvl="5" w:tplc="6D20D288" w:tentative="1">
      <w:start w:val="1"/>
      <w:numFmt w:val="lowerRoman"/>
      <w:lvlText w:val="%6."/>
      <w:lvlJc w:val="right"/>
      <w:pPr>
        <w:ind w:left="3960" w:hanging="180"/>
      </w:pPr>
    </w:lvl>
    <w:lvl w:ilvl="6" w:tplc="538C927C" w:tentative="1">
      <w:start w:val="1"/>
      <w:numFmt w:val="decimal"/>
      <w:lvlText w:val="%7."/>
      <w:lvlJc w:val="left"/>
      <w:pPr>
        <w:ind w:left="4680" w:hanging="360"/>
      </w:pPr>
    </w:lvl>
    <w:lvl w:ilvl="7" w:tplc="270EA766" w:tentative="1">
      <w:start w:val="1"/>
      <w:numFmt w:val="lowerLetter"/>
      <w:lvlText w:val="%8."/>
      <w:lvlJc w:val="left"/>
      <w:pPr>
        <w:ind w:left="5400" w:hanging="360"/>
      </w:pPr>
    </w:lvl>
    <w:lvl w:ilvl="8" w:tplc="814A8F1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B28368">
      <w:start w:val="1"/>
      <w:numFmt w:val="bullet"/>
      <w:lvlText w:val=""/>
      <w:lvlJc w:val="left"/>
      <w:pPr>
        <w:ind w:left="720" w:hanging="360"/>
      </w:pPr>
      <w:rPr>
        <w:rFonts w:ascii="Symbol" w:hAnsi="Symbol" w:hint="default"/>
      </w:rPr>
    </w:lvl>
    <w:lvl w:ilvl="1" w:tplc="AC60658C" w:tentative="1">
      <w:start w:val="1"/>
      <w:numFmt w:val="bullet"/>
      <w:lvlText w:val="o"/>
      <w:lvlJc w:val="left"/>
      <w:pPr>
        <w:ind w:left="1440" w:hanging="360"/>
      </w:pPr>
      <w:rPr>
        <w:rFonts w:ascii="Courier New" w:hAnsi="Courier New" w:cs="Courier New" w:hint="default"/>
      </w:rPr>
    </w:lvl>
    <w:lvl w:ilvl="2" w:tplc="40E4B6FE" w:tentative="1">
      <w:start w:val="1"/>
      <w:numFmt w:val="bullet"/>
      <w:lvlText w:val=""/>
      <w:lvlJc w:val="left"/>
      <w:pPr>
        <w:ind w:left="2160" w:hanging="360"/>
      </w:pPr>
      <w:rPr>
        <w:rFonts w:ascii="Wingdings" w:hAnsi="Wingdings" w:hint="default"/>
      </w:rPr>
    </w:lvl>
    <w:lvl w:ilvl="3" w:tplc="BE508FC2" w:tentative="1">
      <w:start w:val="1"/>
      <w:numFmt w:val="bullet"/>
      <w:lvlText w:val=""/>
      <w:lvlJc w:val="left"/>
      <w:pPr>
        <w:ind w:left="2880" w:hanging="360"/>
      </w:pPr>
      <w:rPr>
        <w:rFonts w:ascii="Symbol" w:hAnsi="Symbol" w:hint="default"/>
      </w:rPr>
    </w:lvl>
    <w:lvl w:ilvl="4" w:tplc="A59491F2" w:tentative="1">
      <w:start w:val="1"/>
      <w:numFmt w:val="bullet"/>
      <w:lvlText w:val="o"/>
      <w:lvlJc w:val="left"/>
      <w:pPr>
        <w:ind w:left="3600" w:hanging="360"/>
      </w:pPr>
      <w:rPr>
        <w:rFonts w:ascii="Courier New" w:hAnsi="Courier New" w:cs="Courier New" w:hint="default"/>
      </w:rPr>
    </w:lvl>
    <w:lvl w:ilvl="5" w:tplc="7848F490" w:tentative="1">
      <w:start w:val="1"/>
      <w:numFmt w:val="bullet"/>
      <w:lvlText w:val=""/>
      <w:lvlJc w:val="left"/>
      <w:pPr>
        <w:ind w:left="4320" w:hanging="360"/>
      </w:pPr>
      <w:rPr>
        <w:rFonts w:ascii="Wingdings" w:hAnsi="Wingdings" w:hint="default"/>
      </w:rPr>
    </w:lvl>
    <w:lvl w:ilvl="6" w:tplc="E9C6E352" w:tentative="1">
      <w:start w:val="1"/>
      <w:numFmt w:val="bullet"/>
      <w:lvlText w:val=""/>
      <w:lvlJc w:val="left"/>
      <w:pPr>
        <w:ind w:left="5040" w:hanging="360"/>
      </w:pPr>
      <w:rPr>
        <w:rFonts w:ascii="Symbol" w:hAnsi="Symbol" w:hint="default"/>
      </w:rPr>
    </w:lvl>
    <w:lvl w:ilvl="7" w:tplc="79041184" w:tentative="1">
      <w:start w:val="1"/>
      <w:numFmt w:val="bullet"/>
      <w:lvlText w:val="o"/>
      <w:lvlJc w:val="left"/>
      <w:pPr>
        <w:ind w:left="5760" w:hanging="360"/>
      </w:pPr>
      <w:rPr>
        <w:rFonts w:ascii="Courier New" w:hAnsi="Courier New" w:cs="Courier New" w:hint="default"/>
      </w:rPr>
    </w:lvl>
    <w:lvl w:ilvl="8" w:tplc="610C954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07"/>
    <w:rsid w:val="00CA6EC7"/>
    <w:rsid w:val="00F536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3D166-9A8D-4AA5-8CC4-4C26FD75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10FA-8E38-4417-A9C2-D329B850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9C648681</Template>
  <TotalTime>0</TotalTime>
  <Pages>6</Pages>
  <Words>1463</Words>
  <Characters>8342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2018-04-09T22:29:00Z</dcterms:created>
  <dcterms:modified xsi:type="dcterms:W3CDTF">2018-04-09T22:29:00Z</dcterms:modified>
</cp:coreProperties>
</file>