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Lara Lodge 2017 Limited - Lara Lodge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HealthShare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Lara Lodge 2017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Lara Lodge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February 2018</w:t>
      </w:r>
      <w:bookmarkEnd w:id="7"/>
      <w:r w:rsidRPr="009418D4">
        <w:rPr>
          <w:rFonts w:cs="Arial"/>
        </w:rPr>
        <w:tab/>
        <w:t xml:space="preserve">End date: </w:t>
      </w:r>
      <w:bookmarkStart w:id="8" w:name="AuditEndDate"/>
      <w:r w:rsidR="00A4268A">
        <w:rPr>
          <w:rFonts w:cs="Arial"/>
        </w:rPr>
        <w:t>1 February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Lara Lodge 2017 Limited trading as Lara Lodge can provide care for up to 27 residents. This certification audit was conducted against the Health and Disability Service Standards and the service contract with the District Health Board.  The service can provide care for residents requiring rest home level of care. The service can also provide residential care for those needing Long term Support - Chronic Health Conditions, plus palliative care. </w:t>
      </w:r>
    </w:p>
    <w:p w:rsidRPr="00A4268A">
      <w:pPr>
        <w:spacing w:before="240" w:line="276" w:lineRule="auto"/>
        <w:rPr>
          <w:rFonts w:eastAsia="Calibri"/>
        </w:rPr>
      </w:pPr>
      <w:r w:rsidRPr="00A4268A">
        <w:rPr>
          <w:rFonts w:eastAsia="Calibri"/>
        </w:rPr>
        <w:t>The audit process included the review of policies, procedures and residents and staff files, observations and interviews with residents, family, management, staff and a medical officer.</w:t>
      </w:r>
    </w:p>
    <w:p w:rsidRPr="00A4268A">
      <w:pPr>
        <w:spacing w:before="240" w:line="276" w:lineRule="auto"/>
        <w:rPr>
          <w:rFonts w:eastAsia="Calibri"/>
        </w:rPr>
      </w:pPr>
      <w:r w:rsidRPr="00A4268A">
        <w:rPr>
          <w:rFonts w:eastAsia="Calibri"/>
        </w:rPr>
        <w:t>The facility manager and communications manager (both owners are responsible for the overall operational management of the service and they are supported by the clinical nurse manager who provides clinical oversight. Service delivery is monitored.</w:t>
      </w:r>
    </w:p>
    <w:p w:rsidRPr="00A4268A">
      <w:pPr>
        <w:spacing w:before="240" w:line="276" w:lineRule="auto"/>
        <w:rPr>
          <w:rFonts w:eastAsia="Calibri"/>
        </w:rPr>
      </w:pPr>
      <w:r w:rsidRPr="00A4268A">
        <w:rPr>
          <w:rFonts w:eastAsia="Calibri"/>
        </w:rPr>
        <w:t xml:space="preserve">Improvements are required to integration of resident records; review of use of restraint and alignment of completion of interRAI assessments and documentation of care plans.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regarding the Health and Disability Commissioner's Code of Health and Disability Services Consumers' Rights (the Code), the complaints process and the Nationwide Health and Disability Advocacy Service, is accessible.  This information is brought to the attention of residents’ and their families on entry to the service and when requested. Residents and family members confirm their rights are met, staff are respectful of their needs and communication is appropriate.  </w:t>
      </w:r>
    </w:p>
    <w:p w:rsidRPr="00A4268A">
      <w:pPr>
        <w:spacing w:before="240" w:line="276" w:lineRule="auto"/>
        <w:rPr>
          <w:rFonts w:eastAsia="Calibri"/>
        </w:rPr>
      </w:pPr>
      <w:r w:rsidRPr="00A4268A">
        <w:rPr>
          <w:rFonts w:eastAsia="Calibri"/>
        </w:rPr>
        <w:t xml:space="preserve">Consent is documented and verbally ascertained on a daily basis and residents and family are given relevant information. </w:t>
      </w:r>
    </w:p>
    <w:p w:rsidRPr="00A4268A">
      <w:pPr>
        <w:spacing w:before="240" w:line="276" w:lineRule="auto"/>
        <w:rPr>
          <w:rFonts w:eastAsia="Calibri"/>
        </w:rPr>
      </w:pPr>
      <w:r w:rsidRPr="00A4268A">
        <w:rPr>
          <w:rFonts w:eastAsia="Calibri"/>
        </w:rPr>
        <w:t xml:space="preserve">The communications manager is responsible for management of complaints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There is a documented quality and risk management system that supports the provision of clinical care and support at the service. Policies are reviewed and there is a document control process in place. </w:t>
      </w:r>
    </w:p>
    <w:p w:rsidRPr="00A4268A">
      <w:pPr>
        <w:spacing w:before="240" w:line="276" w:lineRule="auto"/>
        <w:rPr>
          <w:rFonts w:eastAsia="Calibri"/>
        </w:rPr>
      </w:pPr>
      <w:r w:rsidRPr="00A4268A">
        <w:rPr>
          <w:rFonts w:eastAsia="Calibri"/>
        </w:rPr>
        <w:t xml:space="preserve">There are human resource policies implemented around selection of staff, orientation and staff training and development. Staff, residents and family confirm that staffing levels are adequate, and residents and relatives have access to staff when needed. Staff are allocated to support residents as per their individual needs.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 is responsible for the development of care plans with input from the residents, staff and family member representatives. Care plans and assessments are developed and evaluated within the required time frames that safely meet the needs of the resident and contractual requirements. </w:t>
      </w:r>
    </w:p>
    <w:p w:rsidRPr="00A4268A" w:rsidP="00621629">
      <w:pPr>
        <w:spacing w:before="240" w:line="276" w:lineRule="auto"/>
        <w:rPr>
          <w:rFonts w:eastAsia="Calibri"/>
        </w:rPr>
      </w:pPr>
      <w:r w:rsidRPr="00A4268A">
        <w:rPr>
          <w:rFonts w:eastAsia="Calibri"/>
        </w:rPr>
        <w:t xml:space="preserve">Planned activities are appropriate to the residents assessed needs and abilities. Residents and family/whanau expressed satisfaction with the activities programme. </w:t>
      </w:r>
    </w:p>
    <w:p w:rsidRPr="00A4268A" w:rsidP="00621629">
      <w:pPr>
        <w:spacing w:before="240" w:line="276" w:lineRule="auto"/>
        <w:rPr>
          <w:rFonts w:eastAsia="Calibri"/>
        </w:rPr>
      </w:pPr>
      <w:r w:rsidRPr="00A4268A">
        <w:rPr>
          <w:rFonts w:eastAsia="Calibri"/>
        </w:rPr>
        <w:t xml:space="preserve">There is a medication management system in place and medication is administered by staff with current medication competencies. All medications are reviewed by the general practitioner every three months or as when necessary according to policy. </w:t>
      </w:r>
    </w:p>
    <w:p w:rsidRPr="00A4268A" w:rsidP="00621629">
      <w:pPr>
        <w:spacing w:before="240" w:line="276" w:lineRule="auto"/>
        <w:rPr>
          <w:rFonts w:eastAsia="Calibri"/>
        </w:rPr>
      </w:pPr>
      <w:r w:rsidRPr="00A4268A">
        <w:rPr>
          <w:rFonts w:eastAsia="Calibri"/>
        </w:rPr>
        <w:t>Nutritional needs are provided in line with nutritional guidelines and residents with special dietary needs are catered for. Residents and family interviewed confirm that adequate fluids and food are provided. Snacks are available between meals or whenever needed.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is in place and a New Zealand Fire Service evacuation scheme is approved.  A preventative and reactive maintenance programme includes equipment and electrical checks.  Fixtures, fittings and floor and wall surfaces are made of accepted materials for this environment.</w:t>
      </w:r>
    </w:p>
    <w:p w:rsidRPr="00A4268A">
      <w:pPr>
        <w:spacing w:before="240" w:line="276" w:lineRule="auto"/>
        <w:rPr>
          <w:rFonts w:eastAsia="Calibri"/>
        </w:rPr>
      </w:pPr>
      <w:r w:rsidRPr="00A4268A">
        <w:rPr>
          <w:rFonts w:eastAsia="Calibri"/>
        </w:rPr>
        <w:t xml:space="preserve">Resident rooms are of an appropriate size to allow for care to be provided and for the safe use and manoeuvring of mobility aids. </w:t>
      </w:r>
    </w:p>
    <w:p w:rsidRPr="00A4268A">
      <w:pPr>
        <w:spacing w:before="240" w:line="276" w:lineRule="auto"/>
        <w:rPr>
          <w:rFonts w:eastAsia="Calibri"/>
        </w:rPr>
      </w:pPr>
      <w:r w:rsidRPr="00A4268A">
        <w:rPr>
          <w:rFonts w:eastAsia="Calibri"/>
        </w:rPr>
        <w:t xml:space="preserve">Essential emergency and security systems are in place with regular fire drills completed. Call bells allow residents to access help when needed in a timely manner.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There are clear and comprehensive documented guidelines on the use of restraints, enablers and challenging behaviours. There were no residents using enablers at the time of the audit and one resident using a bedrail identified as a restraint. Staff interviewed demonstrated understanding of restraint and enabler use and receive ongoing education around restraint and management of challenging behaviour.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management systems are in place to minimise the risk of infection to residents, visitors and other service providers. The infection control coordinator is responsible for co-ordinating education and training of staff. Infection data is collated monthly, analysed and reported during staff meetings. The infection control surveillance and associated activities are appropriate for the size and complexity of the service and is carried out as specified in the infection control programme.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1</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1</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629"/>
        <w:gridCol w:w="1280"/>
        <w:gridCol w:w="802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state that they receive services that meet their cultural needs, receive information relative to their needs and that staff respect their wishes. Staff can explain rights for residents in a way that promotes choice. The posters identifying residents’ rights are displayed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education on the Health and Disability Commissioner (HDC) Code of Health and Disability Services Consumers' Rights (the Code) during their induction to the service and through the annual education programme.  All staff have had training in the last year. Interviews with staff confirm their understanding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Examples are provided on ways the Code is implemented in everyday practice, including maintaining residents' privacy; encouraging independence and ensuring residents can continue to practice their own personal values and beliefs.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auditors noted respectful attitudes towards residents on the days of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and procedure that directs staff in relation to gathering consent. Staff ensure that all residents are aware of treatment and interventions planned for them, and the resident and/or significant others are included in the planning of that care. All resident files identified that informed consent is collected and recorded. Interviews with staff confirmed their understanding of the informed consent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information pack includes information regarding informed consent. The clinical nurse manager, registered nurse or the communications manager discusses informed consent processes with residents and their families during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policy and procedure includes guidelines for consent for resuscitation/advance directives. Advanced directives are signed by a resident deemed competent to make a decision.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Written information on the role of advocacy services is provided to complainants at the time when their complaint is being acknowledged.  Resident information around advocacy services is available at the entrance to the service and in information packs provided to residents and family on admission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Staff training on the role of advocacy services is included in training on the Code and this was last provided for staff in 2017.</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family and residents identified that the service provides opportunities for the family/EPOA to be involved in decisions and they state that they have been informed about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visiting policy.  Residents may have visitors of their choice at any time.  The facility is secured in the evenings and visitors can arrange to visit after doors are locked.  Families interviewed confirm they could visit at any time and were always made to feel welcome.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be involved in community activities and to maintain family and friend’s networks. Resident files reviewed demonstrate that progress notes and the content of care plans include regular outings and appointments with staff able to take residents into the community.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complaints policy and procedures are in line with the Code and include periods for responding to a complaint.  Complaint forms are available at the entrance.  A complaints register is in place noting that there have not been any complaints since the last audit. There is a multidisciplinary meeting held annually with each file reviewed including input from family member/s. The satisfaction expressed through interviews and through documentation on the multidisciplinary review indicates that family and residents are very satisfied with the service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complaints with external authorities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communications manager or other registered nurse discusses the Code, including the complaints process with residents and their family on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includes information around rights and this can be produced in a bigger font, if required.  Information is given to next of kin or an enduring power of attorney (EPOA) to read to and discuss with the resident in private. Residents and family members can describe their rights and advocacy services particularly in relation to the complaints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philosophy that promotes dignity, respect and quality of life. The service has policies and procedures that are aligned with the requirements of the Privacy 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available for staff to assist them in managing resident practices and/or expressions of sexuality and intimacy in an appropriate and discreet manner with strategies documented to manage any inappropriate behaviour if there are any issues for a resident. </w:t>
            </w:r>
          </w:p>
          <w:p w:rsidR="00EB7645" w:rsidRPr="00BE00C7" w:rsidP="00BE00C7">
            <w:pPr>
              <w:pStyle w:val="OutcomeDescription"/>
              <w:spacing w:before="120" w:after="120"/>
              <w:rPr>
                <w:rFonts w:cs="Arial"/>
                <w:b w:val="0"/>
                <w:lang w:eastAsia="en-NZ"/>
              </w:rPr>
            </w:pPr>
            <w:r w:rsidRPr="00BE00C7">
              <w:rPr>
                <w:rFonts w:cs="Arial"/>
                <w:b w:val="0"/>
                <w:lang w:eastAsia="en-NZ"/>
              </w:rPr>
              <w:t>The service ensures that each resident has the right to privacy and dignity.  The resident’s own personal belongings are used to decorate their rooms.  Discussions of a private nature are held in the resident’s room and there are areas in the facility that can be used for private meetings.</w:t>
            </w:r>
          </w:p>
          <w:p w:rsidR="00EB7645" w:rsidRPr="00BE00C7" w:rsidP="00BE00C7">
            <w:pPr>
              <w:pStyle w:val="OutcomeDescription"/>
              <w:spacing w:before="120" w:after="120"/>
              <w:rPr>
                <w:rFonts w:cs="Arial"/>
                <w:b w:val="0"/>
                <w:lang w:eastAsia="en-NZ"/>
              </w:rPr>
            </w:pPr>
            <w:r w:rsidRPr="00BE00C7">
              <w:rPr>
                <w:rFonts w:cs="Arial"/>
                <w:b w:val="0"/>
                <w:lang w:eastAsia="en-NZ"/>
              </w:rPr>
              <w:t>Caregivers report that they knock on bedroom doors prior to entering rooms, ensure doors are shut when cares are being given and do not hold personal discussions in public areas. Practices consistent with this were observed on the days of the audit.  Residents and families confirm that residents’ privacy is respected.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state that they are committed to the prevention and detection of abuse and neglect by ensuring provision of quality care.  Staff receive training annually on abuse and neglect and can describe signs. There were no incidents of abuse nor neglect reported in incident forms reviewed nor any documented on the complaints register. Residents, staff and family interviewed confirm that there is no evidence of abuse or neglect.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are aware of the need to ensure residents are not exploited, neglected or abused and staff can describe the process for escalating any issues.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reviewed identified that cultural and /or spiritual values and individual preferences are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policy that outlines the processes for working with people from other cultures. There is a Māori health policy that outlines how to work with Māori with reference to the Treaty of Waitangi. </w:t>
            </w:r>
          </w:p>
          <w:p w:rsidR="00EB7645" w:rsidRPr="00BE00C7" w:rsidP="00BE00C7">
            <w:pPr>
              <w:pStyle w:val="OutcomeDescription"/>
              <w:spacing w:before="120" w:after="120"/>
              <w:rPr>
                <w:rFonts w:cs="Arial"/>
                <w:b w:val="0"/>
                <w:lang w:eastAsia="en-NZ"/>
              </w:rPr>
            </w:pPr>
            <w:r w:rsidRPr="00BE00C7">
              <w:rPr>
                <w:rFonts w:cs="Arial"/>
                <w:b w:val="0"/>
                <w:lang w:eastAsia="en-NZ"/>
              </w:rPr>
              <w:t>Staff report that specific cultural needs for Māori are identified in the specialised Māori assessment and in the residents’ care plans. The manager states that the service can access a kaumatua if required. This may be to support the service around tikanga protocols or general advice. The rights of the resident and family to practise their own beliefs are acknowledged in the policy.</w:t>
            </w:r>
          </w:p>
          <w:p w:rsidR="00EB7645" w:rsidRPr="00BE00C7" w:rsidP="00BE00C7">
            <w:pPr>
              <w:pStyle w:val="OutcomeDescription"/>
              <w:spacing w:before="120" w:after="120"/>
              <w:rPr>
                <w:rFonts w:cs="Arial"/>
                <w:b w:val="0"/>
                <w:lang w:eastAsia="en-NZ"/>
              </w:rPr>
            </w:pPr>
            <w:r w:rsidRPr="00BE00C7">
              <w:rPr>
                <w:rFonts w:cs="Arial"/>
                <w:b w:val="0"/>
                <w:lang w:eastAsia="en-NZ"/>
              </w:rPr>
              <w:t>Staff who identify as Māori can provide support for any Māori residents in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aware of the importance of family/whanau in the delivery of care for the Māori residents. Staff have completed training within the last year around culture including the Treaty of Waitangi and appropriateness of services for Māori.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 clinical nurse manager or registered nurse identifies each resident’s personal needs at the time of admission through the assessment process.  This is achieved with the resident, family and/or their representative as described by family and residents interviewed. Information gathered during assessment includes the resident’s cultural values and beliefs.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familiar with how translating and interpreting services can be accessed. There are a no residents for whom English is a second language. Resident records reviewed during the audit reflected assessment of and planning to meet cultural needs when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describe implementation of policies and processes around boundaries relating to discrimination, abuse and neglect, harassment and exploitation.  Training includes discussion of the staff code of conduct and prevention of inappropriate care. Staff interviewed state that they are aware of the policies and are active in identifying any issues that relate to the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state that they would formally complain to management if they felt that they were discriminated against. There were no complaints recorded in the complaints register for the previous 12 months relating to any form of discrimination or exploitation.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Job descriptions include responsibilities of the position with a job description sighted in staff files sampled. The orientation and employee agreement provided to staff on induction includes standards of conduct.  Interviews with staff confirmed their understanding of professional boundaries, including the boundaries of the caregivers’ role and responsibilities.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policies to guide practice.  These policies align with the health and disability services standards and are reviewed as legislation and evidence changes. There is a training programme for all staff with a high level of attendance from staff.  Residents and families expressed a high level of satisfaction with the care delivered.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Consultation for staff is available through the clinical nurse manager, the registered nurse, the general practitioner and specialists at the District Health Board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Accident/incidents, the complaints procedure and the open disclosure procedure alert staff to their responsibility to notify family/enduring power of attorney of any accident/incident that occurs.  These procedures guide staff on the process to ensure full and frank open disclosure is provided.  Family are informed if the resident has an incident, accident, has a change in health or a change in needs, as evidenced in completed accident/incident forms. Family confirm that there is a lot of communication from the communications manager, facility manager, clinical nurse manager and registered nurse and they are encouraged to visit at any time.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contact is recorded in residents’ files. Family confirm that they are invited to the care planning meetings for their family member and can attend the resident meetings. Residents who attend the resident meetings confirmed that they are useful forums to raise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sign an admission agreement on entry to the service. Those reviewed are signed on the day of admission. The admission agreement provides clear information around what is paid for by the service and by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two owners/directors are identified as the facility and communications managers. They are on site daily with weekly manager meetings (including the clinical nurse manager).  The strategic direction for the organisation is documented. The purpose, values, scope, direction, and goals of the organisation are identified and have been reviewed within the past year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established organisational structure, with the owners/managers and clinical nurse manager providing operational and clinical oversight respectively.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and communications managers have over 10 years’ experience in providing support for people with disabilities.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provides clinical oversight (a full-time role). The clinical operations manager was appointed to the role in September 2016 and they are a registered nurse. The clinical nurse been in the role for over one year and has extensive experience in secondary health services and in aged care.  The clinical nurse manager maintains their eight hours professional development per annum and the communications manager continues to have over eight hours training in management.  Both can describe their roles related to their areas of expertise.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14 residents in the facility requiring rest home level of care. The service can provide care for residents identified under the Long term Support - Chronic Health Conditions or for palliative care however there were no residents requiring care under these contracts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owners/facility and communications managers, the clinical nurse manager would provide operational management of the service. The clinical nurse manager has completed management training in the past.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has been appointed recently into the service and is being supported by the clinical nurse manager to gain experience in aged care. It is expected that they will provide support from a clinical perspective if the clinical nurse manager is on leave.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plan in place and a risk management framework that is documented to guide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organisational policies and procedures to support service delivery.  All policies are subject to review two yearly and as changes in legislation occurs. Policies are linked to the Health and Disability Sector Standards, current and applicable legislation, and evidenced-based best practice guidelines.  Policies are available to staff in hard copy.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delivery is monitored through review and resolution of complaints; review of incidents and accidents; surveillance of infections; monitoring for any clinical issues; feedback from residents and family and implementation of an internal audit programme. The corrective action plans are documented and evidence resolution of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schedule of meetings includes a two-monthly staff meeting with emails circulated to staff as issues arise. The meeting includes all aspects of the quality and risk management programme. The is a monthly resident meeting facilitated by the owner/communications manager and family are also able to attend if they wish. The meetings are well attended. Staff report that they are kept informed of quality improvements.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satisfaction of the service is gathered through the resident meeting, the multidisciplinary meeting and through an open-door policy confirmed as being in place by family and residents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risk management programme in place.  Health and safety policies and procedures are documented and align with new legislation. There is a hazard management programme. There is evidence of hazard identification forms completed when a hazard is identified. Hazards including any maintenance issues are addressed as soon as they arise, and risks are eliminated, minimised or isolated.  Health and safety is audited monthly. Review of incidents, risks, accidents and clinical issues are discussed through meetings as part of the health and safety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and communications manager are aware of situations in which the service would need to report and notify statutory authorities including: police attending the facility; unexpected deaths; sentinel events; infectious disease outbreaks and changes in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education at orientation and as part of the ongoing training programme on the incident and accident reporting process. Staff understand elements of the adverse event reporting process and can describe the importance of recording near misses.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reports documented had a corresponding note in the progress notes in each relevant resident record.  Information gathered around incidents and accidents is analysed with evidence of improvements put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and registered nurse hold a current annual practising certificate along with other health practitioners such as the general practitioner, podiatrist and pharmacist involved with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files include appointment documentation including signed contracts; job descriptions and reference checks.  There is an appraisal process in place with staff files indicating that staff have an annual appraisal.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complete an orientation programme and caregivers are paired with a senior caregiver for shifts or until they demonstrate competency on a number of tasks including personal cares.  Caregivers confirmed their role in supporting and buddying new staff. There is a low turnover of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an annual training schedule documented with all staff attending each training offered. The content of each session is retained along with documentation of attendance and evaluation of each session. Education and training hours are at least eight hours a year for each staff member. The clinical nurse manager and registered nurse have both has completed interRAI training with certificates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policy is the foundation for work force planning.  Staffing levels are reviewed for anticipated workloads, identified numbers and appropriate skill mix, or as required due to changes in the services provided and the number of residents.  Rosters sighted reflected staffing levels meet resident acuity and bed occupancy with sufficient staff to cover shifts if others are on leave.  Staff are rostered on for an eight-hour shift across a 24-hour period with rosters reviewed indicating that staff are replaced when on leave.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20 staff including the clinical nurse manager (40 hours a week); a registered nurse (32 hours a week); care staff and household staff. The clinical nurse manager and registered nurse alternate on call with the communications manager and the clinical nurse manager also available at all times if required. Cooks prepare all meals. Residents and families interviewed confirmed staffing is adequate to meet the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retains relevant and appropriate information to identify residents and track records. This includes information gathered at admission, with the involvement of the family. </w:t>
            </w:r>
          </w:p>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privacy and confidentiality. Staff could describe the procedures for maintaining confidentiality of resident records. Files, relevant resident care, and support information could be accessed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Entries are legible, dated and signed by the relevant staff member with their designation documented. </w:t>
            </w:r>
          </w:p>
          <w:p w:rsidR="00EB7645" w:rsidRPr="00BE00C7" w:rsidP="00BE00C7">
            <w:pPr>
              <w:pStyle w:val="OutcomeDescription"/>
              <w:spacing w:before="120" w:after="120"/>
              <w:rPr>
                <w:rFonts w:cs="Arial"/>
                <w:b w:val="0"/>
                <w:lang w:eastAsia="en-NZ"/>
              </w:rPr>
            </w:pPr>
            <w:r w:rsidRPr="00BE00C7">
              <w:rPr>
                <w:rFonts w:cs="Arial"/>
                <w:b w:val="0"/>
                <w:lang w:eastAsia="en-NZ"/>
              </w:rPr>
              <w:t>Resident files are protected from unauthorised access at all times.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containing sensitive resident information is not displayed in a way that could be viewed by other residents or members of the public.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residents’ files have been divided into separate folders and forms onto clip boards. Files are therefore not integrated, and an improvement is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entry to service policy includes all the required aspects on the management of enquiries and entry. There is an information pack provided to a potential resident and family that contains all the information about entry to the service. Assessments are documented. Screening processes are clearly communicated to the family of choice where appropriate, local communities and referral agencies. Each resident file reviewed included a needs assessment that outlined the level of care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process for the management of transfers and discharges. A standard transfer notification form from the District Health Board is utilised when residents are required to be transferred to the public hospital or another service. Residents and their families are involved in all exit or discharges to and from the service and there was sufficient evidence in the resident’s records to confirm this. Any risks are documented and included in any transfer, exit or discharge information.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 entries sampled confirm that they are reviewed every three months and as required by the general practitioner.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Allergies are clearly documented, and photographs uploaded for easy identification. Medication reconciliation is conducted by the clinical nurse manager or registered nurse when a resident is transferred back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 was observed administering medication as per policy and procedure. The medication management system is implemented to ensure that residents receive medicines in a secure and timely manner and medication entries sampled complied with legislation, protocols and guidelines.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stored in a safe and secure way in the office and locked cupboard. </w:t>
            </w:r>
          </w:p>
          <w:p w:rsidR="00EB7645" w:rsidRPr="00BE00C7" w:rsidP="00BE00C7">
            <w:pPr>
              <w:pStyle w:val="OutcomeDescription"/>
              <w:spacing w:before="120" w:after="120"/>
              <w:rPr>
                <w:rFonts w:cs="Arial"/>
                <w:b w:val="0"/>
                <w:lang w:eastAsia="en-NZ"/>
              </w:rPr>
            </w:pPr>
            <w:r w:rsidRPr="00BE00C7">
              <w:rPr>
                <w:rFonts w:cs="Arial"/>
                <w:b w:val="0"/>
                <w:lang w:eastAsia="en-NZ"/>
              </w:rPr>
              <w:t>An annual medication competency is completed for all staff administering medications and medication training records were sighted indicating that competencies are current.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controlled drug register is current and correct. Weekly and six-monthly stock takes are conducted, and all medications are stored appropriately in a safe within a locked cupboard. Balances checked on audit day matched those recorded in the controlled drug register.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medication at the time of the audit. There is a policy and procedure for self-administration of medication if required. There is a social leave medication form that is used if the resident stays overnight at their family residence and balances and medication is checked prior to leaving and on return of the resident.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Medicines that are opened that expire within a certain period are dated when opened.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Meal services are prepared on site and served in the dining area. The menu has been reviewed by a dietitian two years ago and has recently been also reviewed by a nutritionist. A chef has been employed to manage food services and they have documented a food plan as per changes in recent legislation.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staff have current food handling certificates. Diets are modified as required. The chef confirmed awareness on dietary needs of the residents. The residents have a nutritional profile developed on admission which identifies dietary requirements, likes and dislikes. The resident’s weight is monitored regularly, and supplements are provided to residents with identified weight loss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and pantry were observed to be clean, tidy and stocked. Labels and dates are on all containers and records of temperature monitoring on food, fridges and freezers are maintained. Regular cleaning is undertaken, and all services comply with current legislation and guidelines. The residents and family interviewed indicated that they were very satisfied with the food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reports that all consumers who could be declined entry would be verbally informed of this noting that there are no consumers who have been declined entry as all have been assessed as requiring rest home level of care by the needs assessment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initial assessments are completed within the required time frame on admission while care plans and interRAI are completed within three weeks according to policy. Assessments and care plans are detailed and include input from the family and other health team members as appropriate. The nursing staff utilise standardised risk assessment tools on admission. In interviews, residents and relatives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are resident focussed, integrated and provide continuity of service delivery. The assessed information is used to generate long term care plans and short-term care plans for acute needs. Goals are specific and measurable, and interventions are detailed to address the desired goals/outcomes identified during the assessment process. Care plans sampled included six monthly input from the multidisciplinary team including the resident and family. The residents and relatives interviewed confirm care delivery and support is consistent with their expectations and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interventions in short term care plans and long-term care plans are sufficient to address the assessed needs and desired goals/outcomes. Significant changes are reported in a timely manner and prescribed orders carried out satisfactorily. Progress notes are completed on every shift. Monthly observations are completed and are up to date. Adequate clinical supplies are observed and the staff confirmed they have access to the supplies and products they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practitioner interviewed states that staff escalate any issues (for example changes in a resident’s needs) in a timely manner and staff follow up prescribed interventions.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activities programme covers physical, social, recreational, emotional and cultural needs of the residents. The communications manager coordinates the activities programme with modification of the programme as per individual needs; based on the resident’s response and interests and also according to the capability and cognitive abilities of the residents. Activities include music, bingo, van outings, book and newspaper readings, church services respectively.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actively involved in supporting residents to achieve their goals related to socialisation and activity. </w:t>
            </w:r>
          </w:p>
          <w:p w:rsidR="00EB7645" w:rsidRPr="00BE00C7" w:rsidP="00BE00C7">
            <w:pPr>
              <w:pStyle w:val="OutcomeDescription"/>
              <w:spacing w:before="120" w:after="120"/>
              <w:rPr>
                <w:rFonts w:cs="Arial"/>
                <w:b w:val="0"/>
                <w:lang w:eastAsia="en-NZ"/>
              </w:rPr>
            </w:pPr>
            <w:r w:rsidRPr="00BE00C7">
              <w:rPr>
                <w:rFonts w:cs="Arial"/>
                <w:b w:val="0"/>
                <w:lang w:eastAsia="en-NZ"/>
              </w:rPr>
              <w:t>The residents were observed to be participating in meaningful activities on the audit days. Residents were observed to be going offsite with family/friends. There are planned activities and community connections that are suitable for the residents. The residents and relatives interviewed reported overall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long-term care plans, interRAI assessments and activity plans are evaluated at least six monthly and updated when there are any changes. Relatives and staff input is sought in all aspects of care. The evaluations record how the resident is progressing towards meeting their goals and responses to interventions. Short term care plans are developed when needed and signed and closed out when the short-term problem has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process for the management of all referrals. The service utilises a standard referral form when referring residents to other service providers. The general practitioner confirms that processes are in place to ensure that all referrals are followed up accordingly in a timely manner. Resident and family are kept informed of the referrals made by the service. All referrals are facilitated by the nursing staff or the general practitioner.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and incidents are reported on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Material safety data sheets are available throughout the facility and accessible for staff.  The hazard register is current.  Staff receive training and education to ensure safe and appropriate handling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that is appropriate to the recognized risks, for example: goggles/visors; gloves; aprons; footwear and masks.  Clothing is provided and used by staff.  During a tour of the facility, protective clothing and equipment was observed in all high-risk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posted in a visible location at the entrance to the facility with an expiry date of July 2018.  There have been no building modifications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planned maintenance schedule is implemented.  Any maintenance issues identified by staff are logged and attended to by the owner/facility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Indoor and outdoor space and seating arrangements provide for individual and group activities and all areas are suitable for residents with mobility aids. There are quiet areas for residents to sit.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Equipment relevant to care needs is available and staff confirmed that there is always a sufficient amount of equipment. A test and tag programme is in place. Equipment is calibrated.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safe external areas for residents and family to meet/use and these include paths, seating and shade.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toilets/bathing facilities. Communal toilets are conveniently located close to communal areas. Communal toilet facilities have a system that indicates if it is engaged or vacant or a lock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Appropriately secured and approved handrails are provided in the toilet/shower/bathing areas, and other equipment/accessories are made available to promote resident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report that there are sufficient toilets and showers with all bedrooms having a hand basin.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auditor observed residents being supported to access communal toilets and showers in ways that are respectful and dignified with the ability to have privacy.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personal space provided in all bedrooms to allow residents and staff to move around within the room safely.  Residents interviewed all spoke positively about their rooms. </w:t>
            </w:r>
          </w:p>
          <w:p w:rsidR="00EB7645" w:rsidRPr="00BE00C7" w:rsidP="00BE00C7">
            <w:pPr>
              <w:pStyle w:val="OutcomeDescription"/>
              <w:spacing w:before="120" w:after="120"/>
              <w:rPr>
                <w:rFonts w:cs="Arial"/>
                <w:b w:val="0"/>
                <w:lang w:eastAsia="en-NZ"/>
              </w:rPr>
            </w:pPr>
            <w:r w:rsidRPr="00BE00C7">
              <w:rPr>
                <w:rFonts w:cs="Arial"/>
                <w:b w:val="0"/>
                <w:lang w:eastAsia="en-NZ"/>
              </w:rPr>
              <w:t>Rooms are personalized with furnishings, photos and other personal adornments and the service encourages residents to make the room their own.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room to store mobility aids such as walking frames in the bedroom safely during the day and night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lounge and dining area with these spaces able to be used for activities. All areas are easily accessed by residents and staff.  Residents can access areas for privacy, if required.  Furniture is appropriate to the setting and arranged in a manner which enabled residents to mobilise freely.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is completed on site with covered laundry trolleys and bags in use for transport. The laundry area has been reorganised to ensure that there are clean and dirty spaces. Dirty laundry was observed to be kept separate from clean laundry on the days of the audit. Residents and family members state that the laundry is well managed, and they seldom have missing clothes.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cleaner has a locked cupboard to put chemicals in and the cleaner is aware that the trolley must be with them at all times.   This was observed on the days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Chemicals are in appropriately labelled containers. Products are used with training around use of products provided throughout the year. Cleaning and laundry processes are monitored through the internal audit process with no issues identified in audits.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Zealand Fire Service has approved an evacuation plan. There have been no building reconfigurations since this date.  An evacuation policy on emergency and security situations is in place.  A fire drill takes place at least six monthly with all staff having completed training. The orientation programme includes emergency and security training.  Staff confirmed their awareness of emergency procedures. </w:t>
            </w:r>
          </w:p>
          <w:p w:rsidR="00EB7645" w:rsidRPr="00BE00C7" w:rsidP="00BE00C7">
            <w:pPr>
              <w:pStyle w:val="OutcomeDescription"/>
              <w:spacing w:before="120" w:after="120"/>
              <w:rPr>
                <w:rFonts w:cs="Arial"/>
                <w:b w:val="0"/>
                <w:lang w:eastAsia="en-NZ"/>
              </w:rPr>
            </w:pPr>
            <w:r w:rsidRPr="00BE00C7">
              <w:rPr>
                <w:rFonts w:cs="Arial"/>
                <w:b w:val="0"/>
                <w:lang w:eastAsia="en-NZ"/>
              </w:rPr>
              <w:t>There is always at least one staff member on duty with a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required fire equipment is checked within required timeframes by an external contractor.  A civil defence plan is in place.  There are adequate supplies in the event of a civil defence emergency including food, water, blankets and a gas BBQ.  Emergency lighting is in place. </w:t>
            </w:r>
          </w:p>
          <w:p w:rsidR="00EB7645" w:rsidRPr="00BE00C7" w:rsidP="00BE00C7">
            <w:pPr>
              <w:pStyle w:val="OutcomeDescription"/>
              <w:spacing w:before="120" w:after="120"/>
              <w:rPr>
                <w:rFonts w:cs="Arial"/>
                <w:b w:val="0"/>
                <w:lang w:eastAsia="en-NZ"/>
              </w:rPr>
            </w:pPr>
            <w:r w:rsidRPr="00BE00C7">
              <w:rPr>
                <w:rFonts w:cs="Arial"/>
                <w:b w:val="0"/>
                <w:lang w:eastAsia="en-NZ"/>
              </w:rPr>
              <w:t>The doors are locked in the evenings.  Systems are in place to ensure the facility is secure and safe for the residents and staff.  External lighting is adequate for safety and security.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call bell system is operational with bells in each room. Those tested on the days of audit were working and staff responded to call bells in a prompt manner. Residents interviewed confirm that staff attend promptly when a bell is activated.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procedures to ensure the service is responsive to resident feedback in relation to heating and ventilation, wherever practicable.  Residents are provided with adequate natural light, safe ventilation, heating and an environment that is maintained at a safe and comfortable temperature.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designated as a smoke free service however there is an external area available for residents if they smoke.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and residents confirm that rooms are maintained at an appropriate temperature.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an environment that minimises the risk of infection to residents, staff and visitors by implementing an appropriate infection prevention and control programme. Either the clinical nurse manager of the registered nurse can access a general practitioner or specialist from the District Health Board when required. A documented job description for the infection control coordinator including role and responsibilities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reviewed annually and is incorporated in the monthly meetings and a review of the education programme is conducted. Staff are made aware of new infections through daily handovers on each shift and progress notes. The infection control programme is appropriate for the size and complexity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There are processes in place to isolate infectious residents when required. Hand sanitisers and gels are available for staff and visitors to use. There have been no outbreaks documented and infection control guidelines are adhered to. Staff interviewed demonstrate an understanding of the infection prevention and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is responsible for implementing the infection control programme and indicated there are adequate human, physical, and information resources to implement the programme. Infection control reports are discussed at the management quality meetings and monthly staff meetings. The ICC has access to all relevant resident data to undertake surveillance, internal audits and investigations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demonstrate knowledge on the requirements of standard precautions and able to locate policies and procedures. The organisation has documented policies and procedures in place that reflect current best practice for example, hand hygiene as per the World Health Organisation guidelines.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and cleaner were observed to manage waste correctly.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conducted by ICC and other specialist consultants. A record of attendance is maintained and was sighted. The training education information pack is detailed and follows the policy and procedures documented. External contact resources included: general practitioner; laboratories and local district health board staff. Staff interviewed confirm an understanding of how to implement infection prevention and control activities into their everyday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ICC (registered nurse) has completed training around infection control in 2017 with the certificate of completion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or clinical nurse manager is responsible for the surveillance programme for this service. Clear definitions of surveillance and types of infections (e.g. facility-acquired infections) are documented to guide staff. Information is collated on a monthly basis. Surveillance is appropriate for the size and nature of the services provided. Infection control processes are in place and documented.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surveillance register includes monthly infection logs and antibiotic use. Infections are investigated, and appropriate plans of action are sighted in meeting minutes.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policy provides consistent definitions for restraints and enablers. One resident used a bedrail on the day of audit which was identified as a restraint and there were no resident’s enablers. All staff receive education regarding restraint minimisation and challenging behaviours. Staff interviewed are aware of the difference between a restraint and an enabler.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maintains a process for determining approval of all types of restraints used. The restraint coordinator (clinical nurse manager or registered nurse) completes a restraint assessment, which is then discussed with the general practitioner and family prior to commencement of any restraints. The restraint committee (staff meeting) is defined in the restraint minimisation and safety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The duration of each restraint is documented in the restraint plans of residents. Care staff are responsible for monitoring and completing restraint forms when the restraints are in use. Evidence of on-going education regarding restraint and challenging behaviour is documented. Staff members are made aware of the residents using restraints during monthly staff meetings and at handover as observed on the day of audit. This was confirmed during staff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assessments include restraint related risks. The service records underlying causes for behaviour that requires restraint with a focus on culturally safe practices; identification of desired outcomes; and possible alternatives to restraint. Restraint risks and monitoring timeframes are identified in the restraint assessment records.</w:t>
            </w:r>
          </w:p>
          <w:p w:rsidR="00EB7645" w:rsidRPr="00BE00C7" w:rsidP="00BE00C7">
            <w:pPr>
              <w:pStyle w:val="OutcomeDescription"/>
              <w:spacing w:before="120" w:after="120"/>
              <w:rPr>
                <w:rFonts w:cs="Arial"/>
                <w:b w:val="0"/>
                <w:lang w:eastAsia="en-NZ"/>
              </w:rPr>
            </w:pPr>
            <w:r w:rsidRPr="00BE00C7">
              <w:rPr>
                <w:rFonts w:cs="Arial"/>
                <w:b w:val="0"/>
                <w:lang w:eastAsia="en-NZ"/>
              </w:rPr>
              <w:t>A file reviewed for a resident who used restraint confirmed that a comprehensive assessment was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Before resorting to the use of restraint, the restraint coordinator (registered nurse) tries other means to prevent the resident from incurring injury. Restraint consents are signed by the general practitioner, family and the restraint coordinator. Restraints are incorporated in the long-term care plans and reviewed three monthly. The restraint register is up to date. </w:t>
            </w:r>
          </w:p>
          <w:p w:rsidR="00EB7645" w:rsidRPr="00BE00C7" w:rsidP="00BE00C7">
            <w:pPr>
              <w:pStyle w:val="OutcomeDescription"/>
              <w:spacing w:before="120" w:after="120"/>
              <w:rPr>
                <w:rFonts w:cs="Arial"/>
                <w:b w:val="0"/>
                <w:lang w:eastAsia="en-NZ"/>
              </w:rPr>
            </w:pPr>
            <w:r w:rsidRPr="00BE00C7">
              <w:rPr>
                <w:rFonts w:cs="Arial"/>
                <w:b w:val="0"/>
                <w:lang w:eastAsia="en-NZ"/>
              </w:rPr>
              <w:t>Files were reviewed where the resident was using restraint (bedrail). They had documentation of risks around restraint and safe ways for the restraint to be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evaluates all episodes of restraint. Reviews include the effectiveness of the restraint in use, restraint-related injuries and whether the restraint is still required. The family are involved in the evaluation of the restraints’ effectiveness and continuity. Documentation was sighted in the progress notes of the residents regarding restraint related matters. Restraint minimisation and safe practices are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lack of in depth discussion documented as part of the review of the individual use of restraint for one resident and an improvement is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demonstrates the monitoring and quality review of their use of restraints. The audit schedule was sighted and included restraint minimisation reviews. There are corrective actions put in place when issues are identified.  The content of the internal audits includes the effectiveness of restraints, staff compliance, safety and cultural considerations.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471"/>
        <w:gridCol w:w="1280"/>
        <w:gridCol w:w="3247"/>
        <w:gridCol w:w="1392"/>
        <w:gridCol w:w="15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1.2.9.10</w:t>
            </w:r>
          </w:p>
          <w:p w:rsidR="00EB7645" w:rsidRPr="00BE00C7" w:rsidP="00BE00C7">
            <w:pPr>
              <w:pStyle w:val="OutcomeDescription"/>
              <w:spacing w:before="120" w:after="120"/>
              <w:rPr>
                <w:rFonts w:cs="Arial"/>
                <w:b w:val="0"/>
                <w:lang w:eastAsia="en-NZ"/>
              </w:rPr>
            </w:pPr>
            <w:r w:rsidRPr="00BE00C7">
              <w:rPr>
                <w:rFonts w:cs="Arial"/>
                <w:b w:val="0"/>
                <w:lang w:eastAsia="en-NZ"/>
              </w:rPr>
              <w:t>All records pertaining to individual consumer service delivery are integrated.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Resident files have been re-organised with forms on a number of clipboards; a file for immediate information including assessments and care plans; a file for the doctor with medical records; medication files and other. The medical officer interviewed stated that they found it difficult at times to see a whole picture, but they also stated that staff were very efficient in having all information ready for them when they visited.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Resident files are not integrated.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Ensure that each resident has an integrated record.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Negligible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has been trained in completion of interRAI assessments. There has been a delay in the sign off of the registered nurses training and therefore a delay in documentation of the care plan after an interRAI assessment has been completed. The clinical nurse manager states that they have been aware of the delay due to the Christmas period and that while the care plans have been completed, they have not been signed off by the interRAI training assessor and therefore there appears to be a delay in completion of the documentation.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Timeframes for review of the care plan do not always align with the completion of the interRAI assessment.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review of the resident care plans occurs in a timely manner following completion of the interRAI assessment.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2.2.4.1</w:t>
            </w:r>
          </w:p>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evaluated in collaboration with the consumer and shall consider:</w:t>
              <w:br/>
              <w:t>(a) Future options to avoid the use of restraint;</w:t>
              <w:br/>
              <w:t>(b) Whether the consumer's service delivery plan (or crisis plan) was followed;</w:t>
              <w:br/>
              <w:t>(c) Any review or modification required to the consumer's service delivery plan (or crisis plan);</w:t>
              <w:br/>
              <w:t>(d) Whether the desired outcome was achieved;</w:t>
              <w:br/>
              <w:t>(e) Whether the restraint was the least restrictive option to achieve the desired outcome;</w:t>
              <w:br/>
              <w:t>(f) The duration of the restraint episode and whether this was for the least amount of time required;</w:t>
              <w:br/>
              <w:t>(g) The impact the restraint had on the consumer;</w:t>
              <w:br/>
              <w:t>(h) Whether appropriate advocacy/support was provided or facilitated;</w:t>
              <w:br/>
              <w:t>(i) Whether the observations and monitoring were adequate and maintained the safety of the consumer;</w:t>
              <w:br/>
              <w:t>(j) Whether the service's policies and procedures were followed;</w:t>
              <w:br/>
              <w:t>(k) Any suggested changes or additions required to the restraint education for service providers.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and registered nurse interviewed can both describe the review process to be implemented for use of a restraint. The review of the use of the restraint (bed rail) for one resident is identified in the interRAI assessment and referenced in the long-term care plan however an in-depth evaluation, re-assessment and subsequent care plan is not well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An in-depth evaluation, re-assessment and subsequent care plan is not well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there is sufficient documentation of the use of restraint for an individual resident.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Lara Lodge 2017 Limited - Lara Lodge</w:t>
    </w:r>
    <w:bookmarkEnd w:id="58"/>
    <w:r>
      <w:rPr>
        <w:rFonts w:cs="Arial"/>
        <w:sz w:val="16"/>
        <w:szCs w:val="20"/>
      </w:rPr>
      <w:tab/>
      <w:t xml:space="preserve">Date of Audit: </w:t>
    </w:r>
    <w:bookmarkStart w:id="59" w:name="AuditStartDate1"/>
    <w:r>
      <w:rPr>
        <w:rFonts w:cs="Arial"/>
        <w:sz w:val="16"/>
        <w:szCs w:val="20"/>
      </w:rPr>
      <w:t>1 February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