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Orewa Beach View Retirement Home &amp; Hospital Limited - Orewa Beach View Retirement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Orewa Beachview Retirement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Orewa Secure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November 2017</w:t>
      </w:r>
      <w:bookmarkEnd w:id="7"/>
      <w:r w:rsidRPr="009418D4">
        <w:rPr>
          <w:rFonts w:cs="Arial"/>
        </w:rPr>
        <w:tab/>
        <w:t xml:space="preserve">End date: </w:t>
      </w:r>
      <w:bookmarkStart w:id="8" w:name="AuditEndDate"/>
      <w:r w:rsidR="00A4268A">
        <w:rPr>
          <w:rFonts w:cs="Arial"/>
        </w:rPr>
        <w:t>7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There is a newly appointed experienced facility manager who was appointed two weeks ago. The Ministry of Health have been notified.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Orewa Beachview Retirement Home and Hospital Limited - Orewa Secure Unit provides rest home and hospital level care for up to 29 residents, this includes 12 secure dementia care beds. The service is operated privately by two owner/directors. The facility is managed by an experienced registered nurse (facility manager) and a clinical manager who is also a registered nurse. The facility manager has been in the role for two weeks at the time of audit but is experienced in facility management in New Zealand. Prior to the appointment of the facility manager one of the owner/directors worked as the facility manager. Notification of the change has been notified to the Ministry of Health (MOH).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the gerontology nurse specialist from Waitemata District Health Board (WDHB), the visiting palliative care nurse specialist and a general practitioner.  </w:t>
      </w:r>
    </w:p>
    <w:p w:rsidRPr="00A4268A">
      <w:pPr>
        <w:spacing w:before="240" w:line="276" w:lineRule="auto"/>
        <w:rPr>
          <w:rFonts w:eastAsia="Calibri"/>
        </w:rPr>
      </w:pPr>
      <w:r w:rsidRPr="00A4268A">
        <w:rPr>
          <w:rFonts w:eastAsia="Calibri"/>
        </w:rPr>
        <w:t xml:space="preserve">This audit identified no areas requiring improvements.   </w:t>
      </w:r>
    </w:p>
    <w:p w:rsidRPr="00A4268A">
      <w:pPr>
        <w:spacing w:before="240" w:line="276" w:lineRule="auto"/>
        <w:rPr>
          <w:rFonts w:eastAsia="Calibri"/>
        </w:rPr>
      </w:pPr>
      <w:r w:rsidRPr="00A4268A">
        <w:rPr>
          <w:rFonts w:eastAsia="Calibri"/>
        </w:rPr>
        <w:t xml:space="preserve">Improvements have been made to Maori health care plans, complaints recording, business and strategic planning, formalised monthly reporting systems between the facility manager and owner/directors, and management of any temporary absence of key staff. Audits are now up to date and include pressure injuries. Policies and procedures are up to date, and evaluation and analysis of quality data is clearly shown and communicated to staff and residents/family as appropriate. All identified deficits are managed via the corrective action process, incident and accident forms are fully completed and identify corrective actions put in place to minimise risk. New staff now complete a documented orientation/induction process and staff appraisals are up to date. All interRAI assessments are up to date and general practitioner (GP) admission timeframes are met. Residents needs are clearly shown in care planning documentation. Sharps are disposed of safety, building plant and equipment comply with legislative requirements, and six monthly fire evacuation drills are undertaken.  Restraint evaluations are current. These areas were all identified in the previous audit for improvement and have now fully addressed by the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  Residents who identify as Māori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or nurse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are competent to do so.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and family members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Electrical and medical equipment is tested as required. Toilet equipment and toilets are clean. </w:t>
      </w:r>
    </w:p>
    <w:p w:rsidRPr="00A4268A">
      <w:pPr>
        <w:spacing w:before="240" w:line="276" w:lineRule="auto"/>
        <w:rPr>
          <w:rFonts w:eastAsia="Calibri"/>
        </w:rPr>
      </w:pPr>
      <w:r w:rsidRPr="00A4268A">
        <w:rPr>
          <w:rFonts w:eastAsia="Calibri"/>
        </w:rPr>
        <w:t xml:space="preserve">Oxygen is securely stored. Staff are trained in emergency procedures, use of emergency equipment and supplies and attend regular fire drills.  Fire evacuation procedures are regularly practised.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Two bedside rail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8"/>
        <w:gridCol w:w="1280"/>
        <w:gridCol w:w="102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complaints/concerns/issues policy and associated forms meet the requirements of Right 10 of the Code.  Information on the complaint process is provided to residents and families on admission and those interviewed knew how to do so.  This information, including the complaints policy, is on view and accessible to all residents and visitors.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and two minor concerns have been received since the new owner/directors purchased the facility in June 2017.  Actions taken, through to an agreed resolution, are documented and completed within the timeframes.  Action plans showed any required follow up and improvements have been made where possible. This was an area identified for improvement in the previous audit and is now fully attained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owner/director are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The previous audit identified this area for improvement.  The corrective action is now addressed with records available to demonstrate this.  Guidance on tikanga best practice is available and is supported by staff who identify as Māori in the facility.  A Māori resident and their whānau interviewed reported that staff acknowledge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and that residents have a right to full and frank information and open disclosure from service providers. This was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able to be accessed via the DHB when required. Staff knew how to do so, although reported this was rarely required due to staff who can provide interpretation as and when needed and staff also having the support of language communication cards. Staff represent many nationalities in the workplace.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have been updated to show the current owners goals for the organisation. The owner is aware of the need to review the goals at least annually. The business and strategic plans, outline the purpose, values, scope, direction and goals of the organisation. The documents describe annual and longer term objectives and the associated operational plans. This includes a name change to the facility and rebranding exercise to Solmar. Ministry of Health and DHB notification was made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facility manager is aware that a monthly report is required to be completed and sent to the owner/directors for review. The outline of the report required identifies that adequate information to monitor performance will be reported including occupancy, quality data results, complaints, adverse events, emerging risks and issues. Financial monitoring is undertaken by one of the owner/managers as they are an accountant.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manager/registered nurse who holds relevant qualifications from previous facility manager roles. He has been in the role for two weeks and has taken over from one of the owner/directors. There is also a clinical manager who oversees all clinical issues who is a registered nurse and has been in the role for two years. Responsibilities and accountabilities are defined in job descriptions and individual employment agreements.  Both managers confirmed their knowledge of the sector, regulatory and reporting requirements and they maintain currency through on-site and off-site education in clinical and management areas.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Waitemata District Health Board (WDHB) for Age Related Residential Care and Long-Term Support – Chronic Health Conditions Residential. Eighteen residents were receiving services under the Age Related Residential Care contract and one resident was on short term respite under the WDHB Primary Options for Acute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owner/director is absent, the facility manager has delegated authority to undertake this role. When the facility manager is absent, the clinical manager and owner/director will carry out all the required duties under delegated authority.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key clinical staff, the clinical management is overseen by the facility manager who is a registered nurse and is experienced in the sector and able to take responsibility for any clinical issues that may arise. This was an area identified for improvement in the previous audit and has been fully addressed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resident/family satisfaction survey, monitoring of outcomes, clinical incidents including infections and medication errors, wound care and pressure injuries. Quality data is evaluated to identify trends or areas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 schedule sighted is up to date and includes pressure injury management. Quality data is analysed and evaluated and results are communicated to staff, residents and families as appropriate, as confirmed in resident file reviews and meeting minutes sighted.  These were areas identified for improvement in the previous audit and have been addressed by the service.  Pressure injury management was audited in September 2017.  A calendar has been developed to show when quality reviews, audits, staff education and safety checks are due.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and the implementation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all quality data is shared at their monthly meetings or sooner if trending identifies areas of concern. Deficits are addressed using corrective action planning processes and actions are embedded into practice. One example sighted relates to the pressure injury management audit undertaken in September 2017 which identified that not all pressure injuries were being identified on the resident’s short term care plan. Education was put in place and the re-audit of pressure injury management is due in November. The residents’ files reviewed during audit showed that all short term conditions, including pressure injuries, were clearly set out on short 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were undertaken in October 2017 and will be completed annually. The October satisfaction survey results are currently being collated. No major issues were sighted in a review of the responses at the time of audit. No negative responses were voiced by either residents or families during the audit. A six weekly resident and family meeting is undertaken and they are invited to raise any concerns. This was identified in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developed by an off-site provider and have been personalised to the service. They are based on best practice and are current. The document control system ensures a systematic and regular review process, referencing of relevant sources, approval, distribution and removal of obsolete documents. All policies and procedures sighted are up to date. This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all requirements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owner/director, facility manager and staff. All documentation sighted was completed to the level required to allow incident and accident data to be used as an opportunity to improve services as required. Examples sighted show that all appropriate actions were taken to manage pressure injuries, and management of falls is well documented to show appropriate use of equipment and input from specalist services as required. The resident’s file reviewed showed that the fall rate has decreased from six in September to four in October.  This was an area identified for improvement in the previous audit and has been fully addressed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described essential notification reporting requirements, including for pressure injuries.  They advised notifications of grade three pressure injuries are notified to the Ministry of Health using the Section 31 reporting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police investigation which commenced in December 2016 remains open. This was notified to the Ministry of Health by the previous owner. The current owner/director has followed this up and is aware of actions being taken. No coroner’s inquests, issues based audits and any other notifications have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All existing staff from the previous owner have been issued with new individual contracts by the current owner/directors.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recently employed staff records reviewed confirmed the organisation’s policies are being consistently implemented and records are maintained. Existing staff annual appraisals are up to date. Staff orientation includes all necessary components relevant to the role. Staff reported that the orientation process prepared them well for their role.  Staff records reviewed show documentation of completed orientation and a performance review after a three-month period. These were areas identified for improvement in the previous audit and the have been addressed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Care staff have either completed or commenced a New Zealand Qualification Authority education programme to meet the requirements of the provider’s agreement with the DHB. Two staff members are internal assessor for the programme.  Staff working in the dementia care area have either completed or are enrolled in the required education. Of the 15 healthcare assistants employed currently, six are level two, one is level three and two are level four.</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All interRAI assessments were current.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on-call roster is in place and staff report good access to advice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 there are adequate staff available to complete the work allocated to them. Residents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and review of four weeks rosters and interRAI level of care report identifies that all residents interRAI assessments are up to date. Staff are replaced for unplanned and planned absences. At least one staff member on each shift holds a current first aid certificate and there is 24 hour/seven days a week RN coverage in the hospital. The dementia care wing duty rosters identify that there are dedicated staff across all shifts for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works Monday to Friday, the clinical manager works five days a week, the activities coordinator works five and a half hours five days a week, there are eight hours dedicated kitchen staff seven days a week and domestic staff work four days a week for five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were competent to perform the function they manage.  The previous audit identified an area for improvement to ensure safe medication management and disposal of sharps.  The corrective action has been addressed and records were available to demonstrate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by the pharmacist and RN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is currently collating an approved food safety plan to present to the local council for consideration.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dementia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The previous audit identified this area for improvement.  The corrective action is now addressed, and records were available to demonstrate this.  The interRAI assessments are completed by one trained interRAI assessor on site who is the clinical manager with one registered nurse about to complete their training.  The facility manager is also trained in interRAI, however is currently not up to date with certification in interRAI.  Residents and families confirmed their involvement in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activity co-ordinator.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This includes music and one to one interaction.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Families/whānau interviewed were able to provide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08 April2018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and calibration of bio medical equipment is current as confirmed in documentation reviewed, interviews with the owner/director and observation of the environment. All toilet equipment was clean and met infection control standards. Oxygen bottles have been secured and all efforts are made to ensure the environment is hazard free, that residents are safe and independence is promoted. The maintenance book identifies areas that require repairs are reported and acted upon within a reasonable time frame. These were areas identified for improvement in the previous audit and have all been addressed by the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A trial evacuation takes place six-monthly with a copy sent to the New Zealand Fire Service, the most recent being on 05 September 2017. The report for the fire evacuation drill shows that this was an ‘excellent’ drill with all requirements met within a three-minute timeframe.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includes fire and security training.  Staff confirmed their awareness of the emergency procedures and all staff have completed an emergency management questionnaire. This was an area identified for improvement in the previous audit and has been addressed by the service. Ongoing six-monthly fire evacuation drills are identified on the 2018 training calendar.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mouth, eye/ear/nose, gastro-intestinal track, the upper and lower respiratory tract and wounds. The IPC coordinator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registered nurse and health care assistant staff meetings, at staff handovers and to the facility manager and owner/director.  Graphs are produced that identify trends for the current year, and comparisons against previous years.  Data is benchmarked externally within an external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who is the clinical manager,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bedside rail restraints. No residents were using enablers. Enablers are identified in policy as being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files for both residents who have restraint in use showed that the individual use of restraints is reviewed and evaluated six monthly to meet policy requirements. Policy has been reviewed to show that evaluation is to occur six monthly. Family awareness and involvement in the evaluation process with the restraint process is undertaken as appropriate.  The evaluation covers all requirements of the Standard, including future options to eliminate use, the impact and outcomes achieved, if the policy and procedure was followed and documentation completed as required. This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Orewa Beach View Retirement Home &amp; Hospital Limited - Orewa Beach View Retirement Home &amp; Hospital</w:t>
    </w:r>
    <w:bookmarkEnd w:id="58"/>
    <w:r>
      <w:rPr>
        <w:rFonts w:cs="Arial"/>
        <w:sz w:val="16"/>
        <w:szCs w:val="20"/>
      </w:rPr>
      <w:tab/>
      <w:t xml:space="preserve">Date of Audit: </w:t>
    </w:r>
    <w:bookmarkStart w:id="59" w:name="AuditStartDate1"/>
    <w:r>
      <w:rPr>
        <w:rFonts w:cs="Arial"/>
        <w:sz w:val="16"/>
        <w:szCs w:val="20"/>
      </w:rPr>
      <w:t>6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