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Mountain View</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Mountain View</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14 December 2017</w:t>
      </w:r>
      <w:bookmarkEnd w:id="7"/>
      <w:r w:rsidRPr="009418D4">
        <w:rPr>
          <w:rFonts w:cs="Arial"/>
        </w:rPr>
        <w:tab/>
        <w:t xml:space="preserve">End date: </w:t>
      </w:r>
      <w:bookmarkStart w:id="8" w:name="AuditEndDate"/>
      <w:r w:rsidR="00A4268A">
        <w:rPr>
          <w:rFonts w:cs="Arial"/>
        </w:rPr>
        <w:t>14 December 2017</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Summerset Mountain View is part of the Summerset group of aged care facilities.  The service provides rest home and hospital (medical and geriatric) level care for up to 52 residents in the care centre and up to 20 residents at rest home level of care in serviced apartments.  On the day of the audit there were 48 residents.  The service is managed by a non-clinical village manager and an experienced clinical manager/registered nurse.  The residents and relatives interviewed spoke positively about the care and support provided.</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family, management, staff and the general practitioner.  </w:t>
      </w:r>
    </w:p>
    <w:p w:rsidRPr="00A4268A">
      <w:pPr>
        <w:spacing w:before="240" w:line="276" w:lineRule="auto"/>
        <w:rPr>
          <w:rFonts w:eastAsia="Calibri"/>
        </w:rPr>
      </w:pPr>
      <w:r w:rsidRPr="00A4268A">
        <w:rPr>
          <w:rFonts w:eastAsia="Calibri"/>
        </w:rPr>
        <w:t>Five of eight previous findings from the previous certification and partial provisional audit have been addressed in relation to quality improvement meetings and quality data, internal audits and corrective actions, hazard register, training programme and restraint assessments.</w:t>
      </w:r>
    </w:p>
    <w:p w:rsidRPr="00A4268A">
      <w:pPr>
        <w:spacing w:before="240" w:line="276" w:lineRule="auto"/>
        <w:rPr>
          <w:rFonts w:eastAsia="Calibri"/>
        </w:rPr>
      </w:pPr>
      <w:r w:rsidRPr="00A4268A">
        <w:rPr>
          <w:rFonts w:eastAsia="Calibri"/>
        </w:rPr>
        <w:t xml:space="preserve">There continues to be improvements around complaints documentation, care plans and wounds.   </w:t>
      </w:r>
    </w:p>
    <w:p w:rsidRPr="00A4268A">
      <w:pPr>
        <w:spacing w:before="240" w:line="276" w:lineRule="auto"/>
        <w:rPr>
          <w:rFonts w:eastAsia="Calibri"/>
        </w:rPr>
      </w:pPr>
      <w:r w:rsidRPr="00A4268A">
        <w:rPr>
          <w:rFonts w:eastAsia="Calibri"/>
        </w:rPr>
        <w:t xml:space="preserve">There was one further improvement identified at this surveillance audit around medication chart reviews.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FFC8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Some standards applicable to this service partially attained and of medium or high risk and/or unattained and of low risk.</w:t>
            </w:r>
          </w:p>
        </w:tc>
      </w:tr>
    </w:tbl>
    <w:p w:rsidR="00460D43">
      <w:pPr>
        <w:spacing w:before="240" w:line="276" w:lineRule="auto"/>
        <w:rPr>
          <w:rFonts w:eastAsia="Calibri"/>
        </w:rPr>
      </w:pPr>
      <w:bookmarkStart w:id="14" w:name="ConsumerRights"/>
      <w:r w:rsidRPr="00A4268A">
        <w:rPr>
          <w:rFonts w:eastAsia="Calibri"/>
        </w:rPr>
        <w:t xml:space="preserve">Residents and family are well informed, including of changes in resident’s health.  The village manager and care centre manager have an open-door policy.  Complaint forms and advocacy brochures are available. Information about the Code and related services is readily available to residents and families.   An advocate from Age Concern attends resident’s meetings.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Summerset Mountain View is implementing a quality and risk management system that supports the provision of clinical care.  Key components of the quality management system link to a number of meetings including monthly quality and management meetings.  Annual surveys and monthly resident meetings provide residents and families with an opportunity for feedback about the service.  Quality performance is reported to staff at meetings and includes discussion about incidents, infections and internal audit results.  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in place.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all stages of provision of care.   Assessments, interRAI assessments, development of care plans and evaluations were completed within the required timeframes.  Risk assessment tools and monitoring forms were available and implemented.  Resident centred care plans were individualised and included the input of allied health professionals in resident care.   </w:t>
      </w:r>
    </w:p>
    <w:p w:rsidRPr="00A4268A" w:rsidP="00621629">
      <w:pPr>
        <w:spacing w:before="240" w:line="276" w:lineRule="auto"/>
        <w:rPr>
          <w:rFonts w:eastAsia="Calibri"/>
        </w:rPr>
      </w:pPr>
      <w:r w:rsidRPr="00A4268A">
        <w:rPr>
          <w:rFonts w:eastAsia="Calibri"/>
        </w:rPr>
        <w:t xml:space="preserve">Two recreational therapists implement an integrated activity programme for the rest home and hospital residents.  The activities meet the individual recreational needs and preferences of the resident groups.  There are outings into the community and visiting entertainers.  </w:t>
      </w:r>
    </w:p>
    <w:p w:rsidRPr="00A4268A" w:rsidP="00621629">
      <w:pPr>
        <w:spacing w:before="240" w:line="276" w:lineRule="auto"/>
        <w:rPr>
          <w:rFonts w:eastAsia="Calibri"/>
        </w:rPr>
      </w:pPr>
      <w:r w:rsidRPr="00A4268A">
        <w:rPr>
          <w:rFonts w:eastAsia="Calibri"/>
        </w:rPr>
        <w:t xml:space="preserve">There are medicine management policies in place that meets legislative requirements.  Staff responsible for the administration of medications complete annual medication competencies and education.    </w:t>
      </w:r>
    </w:p>
    <w:p w:rsidRPr="00A4268A" w:rsidP="00621629">
      <w:pPr>
        <w:spacing w:before="240" w:line="276" w:lineRule="auto"/>
        <w:rPr>
          <w:rFonts w:eastAsia="Calibri"/>
        </w:rPr>
      </w:pPr>
      <w:r w:rsidRPr="00A4268A">
        <w:rPr>
          <w:rFonts w:eastAsia="Calibri"/>
        </w:rPr>
        <w:t xml:space="preserve">The food service is contracted to an external company.  Resident's individual dietary needs were identified and accommodated.  Staff have attended food safety and hygiene training.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schedule of compliance issued September 2017.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to guide staff in the use of an approved enabler and/or restraint.  Policy is aimed at using restraint only as a last resort.  The restraint coordinator maintains a current register.  Staff receive regular education and training on restraint minimisation.  There were two rest home residents with enablers and two hospital residents with restraint on the day of audit.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surveillance programme is appropriate to the size and complexity of the service.  Results of surveillance are acted upon, evaluated and reported to relevant personnel. The infection control officer uses the information obtained through surveillance to determine infection control activities, resources and education needs within the facility.  The service engages in benchmarking with other Summerset facilities.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3</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46"/>
        <w:gridCol w:w="1280"/>
        <w:gridCol w:w="1041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organisational complaints policy stated that the village manager has overall responsible for ensuring all complaints (verbal or written) are fully documented and investigated.  There is an electronic complaint’s register that includes relevant information regarding the complaint.  Not all documentation for follow-up letters and resolution were available.  The number of complaints received each month is reported monthly to staff via the various meetings.  There were 12 complaints received in 2017 (year to date).  Four of the complaints remain open (including two DHB complaints) and are being actioned by head office.  Further complaints had been closed out, but did not always evidence follow-up letters and outcomes being completed within the required timeframes.    A complaints procedure is provided to residents within the information pack at entry.  Feedback forms are available for residents/relatives in various places around the facility.  The previous finding around complaint documentation remains.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(three rest home and two hospital) and family members (two rest home) stated they were welcomed on entry and were given time and explanation about services and procedures.  Two rest home relatives interviewed also stated they are informed of changes in the health status of residents and incidents/accidents.  Resident/relative meetings are held monthly with an advocate from Age Concern invited to attend.  The village manager and the care centre manager have an open-door policy.  The service produces a newsletter for residents and relatives.  Residents and family are advised in writing of their eligibility and the process to become a subsidised resident should they wish to do so.  The service has policies and procedures available for access to interpreter services for residents (and their family/whānau).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provides care for up to 52 residents at hospital (geriatric and medical) and rest home level care.  At the time of the audit there were 30 rest home level residents in the care centre including one on respite care and five residents receiving rest home level care in the serviced apartments.  There were 13 residents receiving hospital level care including one resident funded by ACC.  All residents except the one under ACC were under the aged related care contract.  All beds in the care centre are dual-purpose.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Summerset Mountain View has a site-specific business plan and goals that is developed in consultation with the village manager, care centre manager and regional operations manager (ROM).  The quality plan is reviewed regularly throughout the year.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full evaluation at the end of the year.  The 2016 evaluation was sighted.  The village manager has been in the current role at Summerset since 2013.  The village manager is supported by a care centre manager.  The care centre manager has been in the position for 18 months. The care centre manager is a registered nurse who has experience in district nursing and palliative care. The care centre manager is supported by the clinical nurse lead.  Village managers and care centre managers attend annual organisational forums and regional forums over two days. There is a regional operations manager who is available to support the facility and staff.  The village manager has attended at least eight hours of leadership professional development relevant to the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Mountain View is implementing the organisation’s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has a ‘clinical audit, training and compliance’ calendar.  The calendar schedules the training and audit requirements for the month and the care centre manager reports completion of requirements.  All training has occurred as planned for 2017.   Summerset Mountain View reporting to head office includes (but is not limited to): complaints, staff turnover, meetings held, audits, quality indicators for infections, incidents and accidents, health and safety and projects is forwarded to head office as part of the ongoing monitoring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meeting schedule including a combined monthly quality management meeting that includes discussion about clinical indicators (e.g. incident trends, infection rates), health and safety, restraint and complaints.  A new agenda template ensures all quality and benchmarking data is discussed at quality and staff meetings.  Registered nurse meetings are held monthly.  Caregivers meetings are held fortnightly.  Health and safety meetings occur monthly.  There are other facility meetings held such as kitchen and activities.  The previous finding around meetings and analyse of quality data has been addressed   </w:t>
            </w:r>
          </w:p>
          <w:p w:rsidR="00EB7645" w:rsidRPr="00BE00C7" w:rsidP="00BE00C7">
            <w:pPr>
              <w:pStyle w:val="OutcomeDescription"/>
              <w:spacing w:before="120" w:after="120"/>
              <w:rPr>
                <w:rFonts w:cs="Arial"/>
                <w:b w:val="0"/>
                <w:lang w:eastAsia="en-NZ"/>
              </w:rPr>
            </w:pPr>
            <w:r w:rsidRPr="00BE00C7">
              <w:rPr>
                <w:rFonts w:cs="Arial"/>
                <w:b w:val="0"/>
                <w:lang w:eastAsia="en-NZ"/>
              </w:rPr>
              <w:t>An annual residents/relatives survey completed (September 2017) reports overall 96% feedback of experience being good or very good.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implementing an internal audit programme that includes aspects of clinical care.  Issues arising from internal audits an analyse of quality data are developed into corrective action plans, reviewed by the CCM and signed by the VM.  The previous finding around internal audits and corrective actions has been addressed.  Monthly and annual analysis of results is completed and provided across the organisation.  There are monthly accident/incident benchmarking reports completed by the care centre manager that break down the quality data collected across the rest home and hospital and staff incidents/accidents.  Summerset has a data tool "Sway- the Summerset Way" which is integrated and accommodates the data entered.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internal audits are completed.  There is a health and safety and risk management programme in place including policies to guide practice.  The property manager is the health and safety representative (interviewed).  The hazard register includes identified risks and these are reviewed at regular meetings.  The previous finding around the hazard register has been addressed.  Falls prevention strategies are in place that includes the analysis of falls incidents and the identification of interventions on a case by 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has been collected and analysed.  Discussions with the service confirmed that there is an awareness of the requirement to notify relevant authorities in relation to essential notifications.  A notification to public health/DHB for an outbreak in July 2017 was sighted.   Fourteen resident related incident reports for October and November 2017 were reviewed (seven falls, three skin tears, one medication error and three other category).  All reports and corresponding resident files reviewed evidence that appropriate clinical care has been provided following an incident.  The incident reporting policy includes definitions and outlines responsibilities including immediate action, reporting, monitoring including neurological observations (link 1.3.6.1) and corrective action to minimise and debriefing.  Data is linked to the organisation's benchmarking programme and used for comparative purposes.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Five staff files (one care centre manager, one RN, one recreational therapist and two caregivers) were reviewed and all had relevant documentation relating to employment.  Performance appraisals had been completed annually for those staff who have been employed for over 12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orientation programme includes documented competencies and induction checklists (sighted in files of newly appointed staff).  Staff interviewed were able to describe the orientation process and believed new staff were adequately orientated to the service.  There is an annual education plan that is outlined on the ‘clinical audit, training and compliance calendar’.  The plan is being implemented.  A competency programme is in place with different requirements according to work type (e.g. caregivers, registered nurse (RN) and kitchen assistant).  Core competencies are completed, and a record of completion is maintained on staff files and well as being scanned into ‘Sway’.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caregivers interviewed were aware of the requirement to complete competency training.  Caregivers complete an aged care programme. There are 24 permanent caregivers employed, all 24 have either completed aged care qualifications or are currently working on level three qualifications.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previous finding around staff training has been addressed.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work 40 hours per week Monday to Friday and are available on call for any emergency issues or clinical support.  The clinical nurse lead works full time Thursday to Sunday.  In the care centre, there is an RN on duty 24/7.   There are three caregivers on morning shifts, three on the afternoon shifts and three on night shifts.  An enrolled nurse is rostered to four afternoon shifts per week. The RN on duty provides oversight to the rest home residents in the serviced apartments.  One caregiver is on duty in the serviced apartments on a morning shift, an afternoon shift and a night shift to assist the five rest home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levels and skills mix policy is the documented rationale for determining staffing levels and skill mixes for safe service delivery.  A staff availability list ensures that staff sickness and vacant shifts are covered.  Caregivers interviewed confirmed that staff are replaced when off sick.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(three rest home and two hospital) and relatives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medicine management policies and procedures that align with recognised standards and guidelines for safe medicine management practice in accordance with the Medicines Care Guide for Residential Aged Care 2011.  The RNs are responsible for the administration of medications and have completed medication competencies, annual medication education and syringe driver training.  All medications and robotic rolls were evidenced to be checked on delivery with any discrepancies fed back to the supplying pharmacy.  There was one self-medicating rest home resident with a self-medication competency and monitoring in place.  All medications were stored correctly.  The medication fridge temperature is monitored weekly.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resident medication charts (four hospital and six rest home) were reviewed on the electronic medication system were reviewed. Staff recorded the time, date and effectiveness of as required medications.  All ‘as required’ medications had an indication for use.  Not all medication charts on the electronic medication system had been reviewed three monthly by independent GPs.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Medirest is contracted for the provision of meals on-site and to the village café.  The care centre kitchenette and main dining is located on the second level with a downstairs dining room for serviced apartment residents. There is an eight-week rotating seasonal menu approved by the organisational dietitian.  Resident likes/dislikes and preferences are known and accommodated with alternative meal options including a vegetarian option.  Texture modified meals, fortified foods, protein drinks and diabetic desserts are provided.  The cook receives a dietary profile for each resident.  The chef (interviewed) is notified of any changes to resident’s dietary requirements resident preferences.  Specialized crockery and utensils are provided as required.  Meals are delivered in hot boxes to the dining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fridge and freezer temperatures are monitored and recorded.  End cooked food temperatures are recorded on all meats and menu foods.  All foods are stored correctly and date labelled.  Cleaning schedules are maintained.  Chemicals are stored safely within the kitchen.  Staff were observed wearing correct personal protective clothing.  </w:t>
            </w:r>
          </w:p>
          <w:p w:rsidR="00EB7645" w:rsidRPr="00BE00C7" w:rsidP="00BE00C7">
            <w:pPr>
              <w:pStyle w:val="OutcomeDescription"/>
              <w:spacing w:before="120" w:after="120"/>
              <w:rPr>
                <w:rFonts w:cs="Arial"/>
                <w:b w:val="0"/>
                <w:lang w:eastAsia="en-NZ"/>
              </w:rPr>
            </w:pPr>
            <w:r w:rsidRPr="00BE00C7">
              <w:rPr>
                <w:rFonts w:cs="Arial"/>
                <w:b w:val="0"/>
                <w:lang w:eastAsia="en-NZ"/>
              </w:rPr>
              <w:t>Staff working in the kitchen have food handling certificates and chemical safety training.    Feedback on the meals are provided through direct feedback, resident meetings and surveys.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Resident-centred care plans describe the individual support and interventions required to meet the resident goals.  The care plans reflect the outcomes of risk assessment tools.  However, interventions for one hospital resident had not been updated to reflected the required supports/needs.  The previous finding remains. </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were in use for changes in health status.  These are evaluated regularly and either resolved or if an ongoing problem added to the long-term care plan.  There is documented evidence of resident/family/ involvement in the care planning process.  Residents/relatives interviewed confirmed they participate in the care planning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review and if required a GP or nurse specialist consultation.  Relatives interviewed state their relative’s needs are met and they are kept informed of any health changes.  There was documented evidence in the resident files of family notification of any changes to health including infections, accidents/incidents, and medication changes.  Residents interviewed state their needs are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Initial wound assessments with ongoing wound evaluations and treatment plans were in place for residents with wounds.  Wounds are re-assessed at least monthly.  Evaluation comments and photos monitor the healing progress.  The CNL confirmed there was a wound nurse specialist available as required. Not all wound dressing had been changed as per the documented frequency.  Continence products are available and resident files include a urinary continence assessment, bowel management, and continence products identified for day use, night use, and other management.  Specialist continence advice is available as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available to monitor resident health and progress against implemented interventions.  There was a shortfall around neurological observations. The previous finding around implementation and wound documentation remains.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recreational therapist who is a qualified diversional therapist (DT) for 25 hours over four days and a DT in training for three days with one day where both are on duty.  The activity team attend Summerset training sessions and the regional DT group.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Both activity persons have current first aid certificates.  The integrated rest home/hospital programme is planned a month in advance and includes set activities with the flexibility to add other activities of interest or suggestions made by residents.  Activities meet the recreational needs of the residents ensuring all residents have the opportunity to attend activities such as exercises, newspaper reading, arts and crafts, board games and quizzes.  One-on-one time is spent with residents who choose to stay in rooms or unable to participate in group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wheelchair access van for regular weekly outings for outings, shopping, and attending community groups/functions including concerts and events such as the festival of the lights. Community visitors include entertainers, school children, kapa haka groups, pastoral visitors, RSA visitors, pet therapy and guide dog visits. There are many meaningful activities that are integrated with rest home and village residents.  Rest home residents are invited and assisted to attend the care centre activity programme.   Residents are encouraged to maintain their former community links.  Church services are held.  Resident meetings provide an opportunity for residents to feedback on the programme.  The recreational therapists are involved in the multidisciplinary review which includes the review of the activity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resident and family involvement in the review of resident centred care plans.  Initial care plans were evaluated by the registered nurses within three weeks of admission.  Written evaluations were completed six monthly or earlier for resident health changes.  There is evidence of multidisciplinary (MDT) team involvement in the reviews including input from the GP and any allied health professionals involved in the resident’s care.  Families are invited to attend the MDT review and asked for input if they are unable to attend.  Short-term care plans sighted have been evaluated by the RN.  The GP completes three monthly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certificate of compliance for the entire building was issued in September 2017.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includes a surveillance policy including a surveillance procedure, process for detection of infection, infections under surveillance, outbreaks and quality and risk management.  Infection events are collected monthly and entered onto the SWAY electronic system.  The infection control officer provides infection control data, trends and relevant information to the infection control committee and clinical/quality meetings.  Areas for improvement are identified and corrective actions are developed and followed up.  The facility is benchmarked against other Summerset facilities of similar size and benchmarking results are fed back to the infection control officer and used to identify areas for improvement.  Infection control audits are completed, and corrective actions are signed off (sighted).  Surveillance results are used to identify infection control activities and education needs within the facility. A confirmed norovirus outbreak in July 2017 was appropriately managed and reported.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around restraints and enablers.  Restraint use is minimised and used as a last resort for resident safety.  The service currently has two hospital level of care residents assessed as requiring the use of restraint (bed rails).  There are two rest home residents with enablers (bedrails). Voluntary consent had been obtained for enablers.    Ongoing consultation with the resident and family/whānau is also identified.  Staff receive training around restraint minimisation that includes annual competency assessments.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Only registered nursing staff can assess the need for restraint.  Restraint assessments are based on information in the resident’s care plan, discussions with the resident and family and observations by staff.  </w:t>
            </w:r>
          </w:p>
          <w:p w:rsidR="00EB7645" w:rsidRPr="00BE00C7" w:rsidP="00BE00C7">
            <w:pPr>
              <w:pStyle w:val="OutcomeDescription"/>
              <w:spacing w:before="120" w:after="120"/>
              <w:rPr>
                <w:rFonts w:cs="Arial"/>
                <w:b w:val="0"/>
                <w:lang w:eastAsia="en-NZ"/>
              </w:rPr>
            </w:pPr>
            <w:r w:rsidRPr="00BE00C7">
              <w:rPr>
                <w:rFonts w:cs="Arial"/>
                <w:b w:val="0"/>
                <w:lang w:eastAsia="en-NZ"/>
              </w:rPr>
              <w:t>Two of two hospital level residents’ files where restraint (bedrails) was being used were reviewed.  Each file included a restraint assessment and consent form that was signed by the resident’s family.  A restraint assessment tool identified risks related to the use of restraint.  Interventions to prevent injury and maintain cares during periods of restraint use were documented in the resident centred care plans.  The previous finding around assessments has been addressed.</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15"/>
        <w:gridCol w:w="1280"/>
        <w:gridCol w:w="4088"/>
        <w:gridCol w:w="3216"/>
        <w:gridCol w:w="24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1.1.13.3</w:t>
            </w:r>
          </w:p>
          <w:p w:rsidR="00EB7645" w:rsidRPr="00BE00C7" w:rsidP="00BE00C7">
            <w:pPr>
              <w:pStyle w:val="OutcomeDescription"/>
              <w:spacing w:before="120" w:after="120"/>
              <w:rPr>
                <w:rFonts w:cs="Arial"/>
                <w:b w:val="0"/>
                <w:lang w:eastAsia="en-NZ"/>
              </w:rPr>
            </w:pPr>
            <w:r w:rsidRPr="00BE00C7">
              <w:rPr>
                <w:rFonts w:cs="Arial"/>
                <w:b w:val="0"/>
                <w:lang w:eastAsia="en-NZ"/>
              </w:rPr>
              <w:t>An up-to-date complaints register is maintained that includes all complaints, dates, and actions taken.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complaints received are entered on the Summerset SWAY on line data base.  Documentation and evidence is maintained in an onsite folder. All complaints are investigated.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on-line sway complaints register evidenced five resolved complaints for 2017.  The on-site complaints register evidenced eight resolved complaints and four currently with Summerset head office for actioning. The outcomes of two of eight complaints did not occur within required timeframes.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 SWAY complaints register accurately reflects all received complaints and that the onsite documentation correlates with the on-line system.  Ensure all follow-up complaint outcomes occur within ten working days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system.  The medication charts had photograph identification and allergy status recorded.  Each medication was dated with reason for commencing the medication.  Medication signing sheets corresponded with the medication charts.  Six of 10 medication charts had been reviewed by the GP at least three monthly.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Four of 10 medication charts on the electronic medication system were overdue for GP review.   The risk is considered to be low as the residents have been seen and examined at least three monthly.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Ensure all medication charts are reviewed by the GP at least three monthly.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Four of five resident long-term care plans (one hospital and three rest home) reflected the current needs/supports to meet the resident goals.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One hospital resident long-term care plan had not been updated to reflect the resident’s current needs including pain management, weight management and management of oedematous legs.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all long-term care plans reflect the resident’s current needs/supports.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 number of monitoring forms and charts available for use including (but not limited to) pain monitoring, blood sugar levels, weight, wound evaluations, food and fluid intake.  Neurological observations following unwitnessed falls had not been commenced and those in place had not been completed.  Not all wounds had dressing changes at the required frequency.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(i)Three unwitnessed falls did not have neurological observations completed.  Two neurological observations commenced had not been completed as per protocol and (ii) Five of the seven wounds did not have dressing changes as per the documented frequency.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(i)Ensure neurological observations are completed following unwitnessed falls, and (ii) Ensure dressing changes occur at the required frequency.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Mountain View</w:t>
    </w:r>
    <w:bookmarkEnd w:id="58"/>
    <w:r>
      <w:rPr>
        <w:rFonts w:cs="Arial"/>
        <w:sz w:val="16"/>
        <w:szCs w:val="20"/>
      </w:rPr>
      <w:tab/>
      <w:t xml:space="preserve">Date of Audit: </w:t>
    </w:r>
    <w:bookmarkStart w:id="59" w:name="AuditStartDate1"/>
    <w:r>
      <w:rPr>
        <w:rFonts w:cs="Arial"/>
        <w:sz w:val="16"/>
        <w:szCs w:val="20"/>
      </w:rPr>
      <w:t>14 December 2017</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