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Beattie Community Trust Incorporated - Beattie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Beattie Community Trust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Beattie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2017</w:t>
      </w:r>
      <w:bookmarkEnd w:id="7"/>
      <w:r w:rsidRPr="009418D4">
        <w:rPr>
          <w:rFonts w:cs="Arial"/>
        </w:rPr>
        <w:tab/>
        <w:t xml:space="preserve">End date: </w:t>
      </w:r>
      <w:bookmarkStart w:id="8" w:name="AuditEndDate"/>
      <w:r w:rsidR="00A4268A">
        <w:rPr>
          <w:rFonts w:cs="Arial"/>
        </w:rPr>
        <w:t>8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Beattie Community Trust Incorporated operates as Beattie Home and provides rest home level care for up to 36 residents. The organisation is one of eight facilities which form the Community Trust in Aotearoa (CTCA) group. The Trust is made up of six board members and four co-opted members. The manager who is a registered nurse oversees the day to day management of the service.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the manager, the chairman of the trust board, staff, and a general practitioner.  </w:t>
      </w:r>
    </w:p>
    <w:p w:rsidRPr="00A4268A">
      <w:pPr>
        <w:spacing w:before="240" w:line="276" w:lineRule="auto"/>
        <w:rPr>
          <w:rFonts w:eastAsia="Calibri"/>
        </w:rPr>
      </w:pPr>
      <w:r w:rsidRPr="00A4268A">
        <w:rPr>
          <w:rFonts w:eastAsia="Calibri"/>
        </w:rPr>
        <w:t>This audit has resulted in continuous improvement ratings related to activities, quality systems and human resources. No areas for improvement were identified.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trust board, who are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Beattie Home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individual resident has enablers or restraints in use at the time of audit.  Environmental restraint is managed as identified in the organisation’s policy and all family and residents are aware of this. A comprehensive assessment, approval and monitoring process with regular reviews would occur should restraint be used. Policy identifies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50"/>
        <w:gridCol w:w="1280"/>
        <w:gridCol w:w="92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Beattie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manager provided examples of the involvement of Advocacy Services.  Residents’ meetings are facilitated by volunteers of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On day one of the audit six residents were out and about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volunteers and members of the community.  Family members interviewed stated they always feel welcome when they visited, included in activities occurring within the home at the time,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Complaints forms are located throughout the facility at each entry point. The service receives many compliments, which like complaints, are also shared with staff and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has been received over the past year and that actions taken, through to an agreed resolution, are documented and completed within the timeframes.  Follow up actions show required improvements have been made where possible. The manager is responsible for complaints management and follow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 being made aware of the Code and the Nationwide Health and Disability Advocacy Service (Advocacy Service) as part of the admission information provided and discussions with staff.  The Code is displayed in the main foyer areas with information on advocacy services, how to make a complaint and feedback forms at each entrance to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arranging their own visits to the doctor, participation in clubs of their choosing and going out with family on a daily basis.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Eight residents affiliate with their Maori culture.  Guidance on tikanga best practice is available and is supported by all staff within the home.  ‘Kaumatua mornings’ occur on a regular basis and are organised by family/whanau and include/welcome residents from the home who affiliate with their Maori culture, their families/whanau and people from the community.  Kai, waiata and the speaking of te reo Maori is encouraged and supported.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staff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communication was excellent.  Families interviewed stated that they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and staff being able to provide interpretation as and when needed.  Language and communication needs and use of alternative information and communication methods are available and used to support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at board level, outline the organisation’s philosophy, values, and scope of the organisation. The nursing objectives, and business goals and objective are also reviewed and outcomes are measured at least annually. The documents described annual and longer-term objectives and the associated operational plans. A sample of monthly reports to the board of trustees showed adequate information to monitor performance is reported including resident movement, maintenance and property items, quality and health and safety which includes any identified risks, activities staffing, Community Trust in Aotearoa (CTCA) matters and general business.  The chairman of the trust board confirmed there is excellent communication between the board and the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(manager) who holds relevant qualifications and has been in the role for seven years. Responsibilities and accountabilities are defined in a job description and individual employment agreement.  The manager confirmed knowledge of the sector, regulatory and reporting requirements and maintains currency through attendance at seminars, clinical updates and on-line education. Education sighted covers both management and clinical aspects of the role.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Age Related Residential Care (ARRC) and Residential Respite Services contracts with Waikato District Health Board (WDHB) and Residential Non-Aged Care with the Ministry of Health. Thirty-four residents were receiving rest home level care services under the ARRC contract and one under the respite contract. There were no residents under the non-aged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clinical aspect of the role is covered by the registered nurse (RN) with non-clinical aspects being managed by the administrator and chairman of the board. Duties are carried out under delegated authority. During absences of key clinical staff, the clinical management is overseen by the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The use of quality improvement data has gained a continued improvement rating. This includes management of incidents and complaints, audit activities, a regular patient satisfaction survey, monitoring of outcomes, clinical incidents including infections, wounds, pressure injuries and falls.  Data results are benchmarked against other members of the CTCA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incorporated into organisational goals and objectives to ensure they remain resident focused. Quality data is reviewed, trended and used to identify areas of improvement. Examples include activities for men only and ladies only which residents are very happy with. Outings for these groups include members of the local community and off duty staff and volunteers also attend. Projects put in place are well planned and implemented by all staff. For example, the falls prevention project.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health and safety, infection control and quality meetings, staff team meetings and reported to the board monthly. Staff reported their input and involvement in quality and risk management activities through audit activities, and implementation of corrective actions and projects. Relevant corrective actions are developed and implemented to address any shortfalls. Resident and family satisfaction surveys are completed annually. The most recent survey showed that residents and families are satisfied with the services provided. Comments made both negative and positive were followed up by the manager. For example, one family member stated it took too long for them to be notified about an incident involving their relative. This was investigated by the manager and appropriate corrective actions have been implemented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developed by an off-site provider and are based on best practice and were current. They are personalised to Beattie Home. The document control system ensures a systematic and regular review process, referencing of relevant sources, approval, distribution and removal of obsolete documents. Management of policy and procedures is a dedicated role of the administrator who ensures a list of due policies are alerted to management and that only current policies and procedures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and the board of trustees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manager. If required, a control measure for health and safety is identified and documented on the form. These are followed up at the health and safety meeting to ensure the corrective action has been implemented and to measure the outcome of the corrective 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 based audits and any other notifications (eg,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nine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verbalised that they are ‘buddied’ by a senior staff member until they are comfortable in their role and that if extra time is required prior to them being included in staffing numbers on the floor this occurs. Staff records reviewed show documentation of completed orientation within one month of commencing employment. A meeting with the manager then determines any areas of specific education which are identified by the staff member and by the manager. A performance review occurs after a three-month and nine-month period. From then on annual performance appraisals are undertaken. All staff appraisals were up to date. The 2017 staff satisfaction survey identified that staff have 100% job satisfaction. This was supported during interviews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from one of the CTCA group facilities is the internal assessor for the programme.  The RN is trained and competent and maintains their annual competency requirements to undertake interRAI assessments. Records reviewed demonstrated completion of the required training. The manager is interRAI competent for management level only. There is a RN available from one of the other CTCA facilities who assists with ensuring interRAI assessments are kept up to date when the RN is on leave.  </w:t>
            </w:r>
          </w:p>
          <w:p w:rsidR="00EB7645" w:rsidRPr="00BE00C7" w:rsidP="00BE00C7">
            <w:pPr>
              <w:pStyle w:val="OutcomeDescription"/>
              <w:spacing w:before="120" w:after="120"/>
              <w:rPr>
                <w:rFonts w:cs="Arial"/>
                <w:b w:val="0"/>
                <w:lang w:eastAsia="en-NZ"/>
              </w:rPr>
            </w:pPr>
            <w:r w:rsidRPr="00BE00C7">
              <w:rPr>
                <w:rFonts w:cs="Arial"/>
                <w:b w:val="0"/>
                <w:lang w:eastAsia="en-NZ"/>
              </w:rPr>
              <w:t>The service values their staff and this is documented and recorded in many various ways. Staff undertake additional education which is supported and encouraged by the organisation so that they can offer residents good quality care in all services. A continuous improvement has been given in this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InterRAI information is also used to ensure appropriate staffing levels and skills mix are attained. This was confirmed in four weeks of rosters sighted. The facility adjusts staffing levels to meet the changing needs of residents.  Staff verbalised occurrences when this had occurred.</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rosters confirmed adequate staff cover has been provided, with staff replaced in any unplanned absence.  Staff cover all rostered shifts; no bureau staff are used at the facility. All staff members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registered nurse cover on morning duty Monday to Friday and some weekends. If a registered nurse is not on duty in the weekend the shift is run by an enrolled nurse. Dedicated kitchen staff cover the kitchen duties from 7am to 7.30pm with additional kitchen staff from 6.30am to 2.30 pm. The activities coordinator works 40 hours per week Monday to Friday and care staff are specifically rostered to cover activities 9am to 3pm Saturday and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for 10 hours per day Monday to Friday including public holidays. Dedicated laundry staff work five hours per day, seven days a week. The manager, administrator and accounts person work Monday to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Disability Support Link Assessment and Service Coordination (DSL) Service. Prospective residents and/or their families are encouraged to visit the facility prior to admission and are provided with written information about the service and the admission process.   The organisation seeks updated information from DSL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and communication between all parties.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weekly.  The last controlled drug audit was completed in November of 2017 and is completed three monthly by the pharmacist and any recommendations made at the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and a dedicated kitchen team and is in line with recognised nutritional guidelines for older people.  The menu follows summer and winter patterns, is also supported by Beattie Home’s fruit and vegetable garden, and was last reviewed by a qualified dietitian in December of 2016.</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home has developed an approved food safety plan which is registered with the council and awaiting verification in January 2018.  Food temperatures, including for high risk items, are monitored appropriately and recorded as part of the plan. The cooks and kitchen assistants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DSL is advised to ensure the prospective resident and family are supported to find an appropriate care alternative. If the needs of a resident change and they are no longer suitable for the services offered, a referral for reassessment to the DSL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challenging behaviours and depression scale, as a means to identify any deficits and to inform care planning. The sample of care plans reviewed had an integrated range of resident-related information.  All residents have current interRAI assessments completed by the one trained interRAI assessor on site.  The RN is supported by a registered nurse who is contracted to the home to support the completion of interRAI assessments.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Beattie Home has a goal of zero falls each month.  Statistics provided show that 41 falls occurred between July 2016 and June 2017, however with specific interventions put into place for individual residents and the home as a whole, the home has recorded a reduction and identifies a total of 14 falls from June 2017 to the date of the audit.  A falls audit in August 2017 identified that out of 35 residents surveyed (22 surveys were returned (63% response), eight of 22 residents had falls with four residents receiving moderate to severe injuries and six residents receiving minor injuries.  Families response was ‘all were satisfied to very satisfied’ with feedback and service provided by staff.  One family member was not satisfied with the length of time it took to advise them of a fall that occurred.  The manager followed this concern with a phone call and a resolution was discussed.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Statistics for Beattie Home showed that other than a grade one pressure injury which was identified in September 2017 and healed quickly, no other pressure area has been recorded since May 2017.  A family survey in August of 2017 identified that 20 of 22 surveys were returned and showed that all family were happy with the care and communication provided by staff at Beattie Home.  In summary, 12 residents had experienced a skin issue from skin grafts, abrasions, liaisons, skin tears, bruising, varicose, eczema and skin irritations.  Nine residents were provided the opportunity to speak to the GP and nine family members/whanau felt ‘they were well informed’ and all family stated that they were ‘kept well informed throughout the healing process and pain management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has completed training in dementia care along with other related qualifications and is supported by 80 volunteers/friends of the community who support residents and staff at Beattie Home on a daily basis to continue to be part of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continued integration and part of normal community activities and has resulted in a continuous improvement in relation to the service delivery team approach in the way that individual, group activities and regular events are offered.   Residents and families/whānau are encouraged and involved in evaluating and improving the programme through residents’ meetings, satisfaction surveys. Residents and families interviewed confirmed they find the programmes excellent.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mental health services for older persons and the dietician.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07 January 2018, was publicly displayed.  The facility has a Certificate of Public Use for a new wing extension which was issued 24 May 2017. Work is to commence in March 2018 to upgrade the fire doors for this area to meet the requirements of the certificate prior to renewal. This was confirmed in documentation sighted and during interview with the chairman of the board.</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(February 2017) and calibration of bio medical equipment (October 2017) was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Easy access via ramps is in place to the grounds which have very well-maintained gardens, seating areas and appropriate shaded areas. The gardens are managed by a community group as an ongoing project.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that any requests are appropriately actioned in a timely manner. This was confirmed in maintenance documentation sighted. Residents and families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15 bedrooms with full ensuites and one bedroom with a toilet ensuite only. There are separate staff and visitor toilet facilities. Appropriately secured and approved handrails are provided in the toilet/shower areas, and other equipment/accessories are available to promote residents’ independence. Hot water temperatures are monitored and documented. They remain within safe temperature for residential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but two bedrooms provide single accommodation.  Two bedrooms have shared accommodation, one husband and wife are in one room and two cousins occupy the second double room. Where rooms are shared, approval has been sought. This was confirmed during resident interviews.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lounge areas, one with dining facilities at one end and another separate dining area. All of these areas are available for residents to engage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quiet area is available to residents and/or families (whanau room). The lounge areas are spacious and enable easy access for residents and staff.  Residents can access areas for privacy, if required.  Furniture is appropriate to the setting and residents’ needs. Residents confirmed they may choose where they sit, and families confirmed privacy is never an issue.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which is well equipped and has a very defined clean/dirty flow. Staff demonstrated a sound knowledge of the laundry processes and management of clean and dirty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as confirmed during interview and in staff training records.  Chemicals were stored in a lockable cupboard and were in labelled containers. Safety data sheets are available for all chemicals used.</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daily visual checks are undertaken by the manager. Any issues noted are followed up accordingly. For example, the July 2017 audit noted that the bookshelf in one area needed to be tidied up, this was followed up and re-audited by the manager as confirmed in documentation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08 November 2015 and fire equipment is checked annually in June. A trial evacuation takes place six-monthly with a copy sent to the New Zealand Fire Service, the most recent being on 17 November 2017 with no follow up required. The orientation programme includes fire and security training.  Staff confirmed their awareness of the emergency procedures. Mandatory training data identifies all staff have attended a fire drill within a 12-month period.</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36 residents. A filtered water storage tank is located on the complex, and there is a petrol generator on site which provides up to 48 hours’ emergency power. This is checked monthly as part of the regular maintenance checks undertaken.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twice a year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twice nightly at random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three bedrooms have doors that open onto the outside garden. Heating is provided by electric wall mounted heaters in residents’ rooms and heat pumps in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Beattie Home implements an infection prevention and control (IPC) programme to minimises the risk of infection to residents, staff and visitors.  The programme is guided by a comprehensive and current infection control manual, with input from clinical nurse specialists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manager, tabled at the health and safety committee meeting and a report is provided to the board.  This committee includes the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was evident at all entrances to the facility and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18 months and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tract and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all staff via regular monthly meetings.  This information was sighted in the staff room for staff to view.  Graphs are produced that identify trends for the current year and comparisons against previous years, and this is reported to the manager.   Data is benchmarked externally with other aged care providers.  Benchmarking has provided assurance that infection rates in the facility are below average for the sector, however in investigating the infection rates for the facility on the day of audit, it was found that the facility is over reporting and the infection rate is actually lower than that being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would provide support and oversight for enabler and restraint management in the facility, should they be required. The coordinator (RN)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individual residents were using restraints or enablers. There is a number lock on the main front door which is identified in policy as environmental restraint for safety reasons only and families and visitors are aware of this. There are three exit doors to the outside area and only the main door has a lock on it. Resident movement is not restricted. Policy identifies that enablers are the least restrictive and used voluntarily at their request.  </w:t>
            </w:r>
          </w:p>
          <w:p w:rsidR="00EB7645" w:rsidRPr="00BE00C7" w:rsidP="00BE00C7">
            <w:pPr>
              <w:pStyle w:val="OutcomeDescription"/>
              <w:spacing w:before="120" w:after="120"/>
              <w:rPr>
                <w:rFonts w:cs="Arial"/>
                <w:b w:val="0"/>
                <w:lang w:eastAsia="en-NZ"/>
              </w:rPr>
            </w:pPr>
            <w:r w:rsidRPr="00BE00C7">
              <w:rPr>
                <w:rFonts w:cs="Arial"/>
                <w:b w:val="0"/>
                <w:lang w:eastAsia="en-NZ"/>
              </w:rPr>
              <w:t>The manager confirmed that restraint would only be used as a last resort when all alternatives have been explored. This was supported by a review of the restraint register, staff meetings and discussions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271"/>
        <w:gridCol w:w="44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are collected, analysed and evaluated. The evaluation process includes using comparative data from that previously collected and benchmarking against other members of the CTCA group.  Findings are then communicated to all levels of service staff and to the board. Where appropriate, residents and family members are also informed about quality improvements that are to occur or have occurred.  </w:t>
            </w:r>
          </w:p>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clearly demonstrate a review process, including analysis and reporting of findings with evidence of actions taken resulting in improvements to the service and/or resident satisfaction. The data sighted shows that Beattie Home has reduced their falls rate following a falls project being implemented and for two months out of 12 months there were no falls recorded. (Refer comment in standard 1.3.5). This was achieved by all staff working as a team, the introduction of strengthening and physiotherapy gym exercises, including Tai Chi, which resulted in regular, larger than usual resident numbers attending the daily exercise groups. New residents, including respite care residents, have safety preventions in place at the time they are admitted, helping prevent falls. Residents were kept informed of how well the falls management programme was working at monthly residents’ meetings and a survey was sent to all family members asking them about how they felt the programme was working. All feedback was positive. This was confirmed in documentation sighted.</w:t>
            </w:r>
          </w:p>
          <w:p w:rsidR="00EB7645" w:rsidRPr="00BE00C7" w:rsidP="00BE00C7">
            <w:pPr>
              <w:pStyle w:val="OutcomeDescription"/>
              <w:spacing w:before="120" w:after="120"/>
              <w:rPr>
                <w:rFonts w:cs="Arial"/>
                <w:b w:val="0"/>
                <w:lang w:eastAsia="en-NZ"/>
              </w:rPr>
            </w:pPr>
            <w:r w:rsidRPr="00BE00C7">
              <w:rPr>
                <w:rFonts w:cs="Arial"/>
                <w:b w:val="0"/>
                <w:lang w:eastAsia="en-NZ"/>
              </w:rPr>
              <w:t>Other quality initiatives which have resulted in measurable improvements relate to the reduction of antibiotics owing to less urinary tract infections, staff awareness and management to prevent pressure injuries, ensuring activities are meaningful to residents, such as a knitting group which continues to grow and has resulted in increased residents’ comraderie and socialising, giving greater value to the outcome of their work (also refer comments in standard 1.3.7). The service has also undertaken a project to actively create staff team work, “Team Waka”, by not only using a model of practice which is resident focused, but also including staff caring for each other. (Refer comments in standard 1.2.7).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can clearly demonstrate implementation of quality improvements related to achieving better quality outcomes over a 12 month period. The improvements made by the service have resulted in improved resident safety and high levels of satisfaction recorded by residents, staff and families which are measured as part of the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this criterion, Beattie Home demonstrates a review process, including measurable findings and reporting of evidence that staff education is undertaken across all areas to benefit staff skills and knowledge and therefore they are able to provide services to residents in a safer and more effective manner. This includes caregivers who have gained recognition using the pay equity scale. There are three level three, five level four and two level two staff. Fifteen staff hold full medication competencies and six caregivers can give paracetamol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system in place to ensure that staff training is planned, facilitated and recorded for all staff. Beattie Home actively encourage and support staff to provide a happy and positive environment in which to work and this in turn creates a positive environment for the residents to live in. Human resources management has a clearly documented continuous improvement plan which identifies the actions taken beyond what is required in the standard. Staff are valued by the organisation and this is demonstrated in meeting minutes and letters from the board sighted in staff files. The wellbeing and happiness of staff is measured by the positivity expressed by staff, and staff retention. Fourteen staff have over five years’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included in decision making about how best to further improve services. Staff are nominated ‘champions’ in an area where they look to take extra responsibility and appropriate education is sought to ensure staff feel competent to perform the role they have nominated. For example, the maintenance person is the chemical safety champion and attends the in-service education and holds a certificate from the Employers and Manufacturers Association (EMA) related to management of hazardous substances. The activities coordinator has a degree in social policy and networks to ensure activities are very well organised and meaningful to residents, family and staff. All staff have in-depth health and safety education to ensure they maintain a safe environment for residents. There is documented evidence of all staff working as a team and management confirmed that staff always ‘go the extra mile’. This was supported by resident and families interviewed during audit, in the annual satisfaction survey results and in the number of positive compliments received by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plan in place for education and also the service encourages and supports further education for staff so that their contribution to the service is maximised. This makes staff feel valued and additional duties undertaken by staff known as ‘champions’ is recognised by the board and management. Staff work as a team and this is reflected in staff retention, the non-use of bureau nurses as staff wish to cover each other for unexpected leave and staff members voluntary involvement in all activities both on-site and off-site when they are not on duty. Resident and family satisfaction survey results and interviews confirmed that all care is delivered in a professional, knowledgeable caring manner. Families and residents acknowledged staff efforts through compliments sent to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Beattie Home has developed a resident holistic centred approach to activities which has family and the community included and part of all aspects related to the resident’s day to day care.  Four examples are: </w:t>
            </w:r>
          </w:p>
          <w:p w:rsidR="00EB7645" w:rsidRPr="00BE00C7" w:rsidP="00BE00C7">
            <w:pPr>
              <w:pStyle w:val="OutcomeDescription"/>
              <w:spacing w:before="120" w:after="120"/>
              <w:rPr>
                <w:rFonts w:cs="Arial"/>
                <w:b w:val="0"/>
                <w:lang w:eastAsia="en-NZ"/>
              </w:rPr>
            </w:pPr>
            <w:r w:rsidRPr="00BE00C7">
              <w:rPr>
                <w:rFonts w:cs="Arial"/>
                <w:b w:val="0"/>
                <w:lang w:eastAsia="en-NZ"/>
              </w:rPr>
              <w:t>Men’s Breakfast – which was developed two years ago and occurs monthly were the men of Beattie Home have ‘bloke time’ and go out to breakfast at local cafes with ‘friends from the community’.  A survey of resident and family in June of 2017, facilitated by ‘friends of Beattie Home’, showed all residents attending and their families were 100% happy with the planned outings and community participation.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Knitting Club – was developed two years ago initially with four residents, now with fifteen attending knitting for the ‘kids up north’.  A survey of resident and family in August of 2017 facilitated by ‘friends of Beattie Home’ showed all residents were 100% happy with the activity and when asked, ‘wanted to remain part of the group’.  Staff interviewed have stated that they have noticed that one resident who was initially socially isolated has now become very active within the group, there is a general overall observation of increase in communication and discussions within the group noted, and residents are also observed to have an increase in their mobility and have more movement in their fingers and hands.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‘Kaumatua mornings’ occur on a regular basis (see criterion 1.1.4) and are organised by family/whanau and include/welcome residents from the home who affiliate with their Maori culture, their families/whanau and people from the community.  Kai, waiata and the speaking of te reo Maori is encouraged and supported. </w:t>
            </w:r>
          </w:p>
          <w:p w:rsidR="00EB7645" w:rsidRPr="00BE00C7" w:rsidP="00BE00C7">
            <w:pPr>
              <w:pStyle w:val="OutcomeDescription"/>
              <w:spacing w:before="120" w:after="120"/>
              <w:rPr>
                <w:rFonts w:cs="Arial"/>
                <w:b w:val="0"/>
                <w:lang w:eastAsia="en-NZ"/>
              </w:rPr>
            </w:pPr>
            <w:r w:rsidRPr="00BE00C7">
              <w:rPr>
                <w:rFonts w:cs="Arial"/>
                <w:b w:val="0"/>
                <w:lang w:eastAsia="en-NZ"/>
              </w:rPr>
              <w:t>There are also eight (kindergartens through to intermediate schools) within the community who regularly visit Beattie Home and interact with residents with singing and encourage general day to day interactions.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Beattie Home has achieved a continuous improvement in the activities provided and integration, interaction and support of the local community.   There are clearly documented findings, evidence of actions taken based on the findings and the improvements made to the service provision and resident safety and satisfaction that is measurable. This was supported during staff, resident and family interviews and in the resident/family satisfaction survey results sighted gaining an overall higher satisfaction result for care services. All benefits gained, and outcomes achieved have either a resident safety or satisfaction component.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Beattie Community Trust Incorporated - Beattie Home</w:t>
    </w:r>
    <w:bookmarkEnd w:id="58"/>
    <w:r>
      <w:rPr>
        <w:rFonts w:cs="Arial"/>
        <w:sz w:val="16"/>
        <w:szCs w:val="20"/>
      </w:rPr>
      <w:tab/>
      <w:t xml:space="preserve">Date of Audit: </w:t>
    </w:r>
    <w:bookmarkStart w:id="59" w:name="AuditStartDate1"/>
    <w:r>
      <w:rPr>
        <w:rFonts w:cs="Arial"/>
        <w:sz w:val="16"/>
        <w:szCs w:val="20"/>
      </w:rPr>
      <w:t>7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