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Kamo Home and Village Charitable Trust - Mountain View</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Kamo Home &amp; Village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Mountain View</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December 2017</w:t>
      </w:r>
      <w:bookmarkEnd w:id="7"/>
      <w:r w:rsidRPr="009418D4">
        <w:rPr>
          <w:rFonts w:cs="Arial"/>
        </w:rPr>
        <w:tab/>
        <w:t xml:space="preserve">End date: </w:t>
      </w:r>
      <w:bookmarkStart w:id="8" w:name="AuditEndDate"/>
      <w:r w:rsidR="00A4268A">
        <w:rPr>
          <w:rFonts w:cs="Arial"/>
        </w:rPr>
        <w:t>6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Mountain View provides rest home level care for up to 19 residents. The service is operated by Kamo Home and Village Charitable Trust. Management is shared by a group of managers from a nearby facility owned by the same Trust. Overall service delivery is the responsibility of the general manager who is supported by a services manager, group care manager, resident lifestyle manager and business support manager. On a day to day basis, the management of the facility is over seen by a registered nurse who is the clinical charge nurse (CCN).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 visiting nurse from mental health services, the contracted physiotherapist and a general practitioner.  </w:t>
      </w:r>
    </w:p>
    <w:p w:rsidRPr="00A4268A">
      <w:pPr>
        <w:spacing w:before="240" w:line="276" w:lineRule="auto"/>
        <w:rPr>
          <w:rFonts w:eastAsia="Calibri"/>
        </w:rPr>
      </w:pPr>
      <w:r w:rsidRPr="00A4268A">
        <w:rPr>
          <w:rFonts w:eastAsia="Calibri"/>
        </w:rPr>
        <w:t xml:space="preserve">This audit has identified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interviewed demonstrated good knowledge and were observed to respect residents` rights in their day to day interactions. The registered nurse and care staff were fully informed of the obligations of the Health and Disability Commissioner`s (HDC) Code of Health and Disability Services Consumers` Rights (the Code). Education is provided to staff at orientation and this is ongoing. Advocacy services are readily available and contact numbers are accessible.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information they need to make informed choices and give consent.</w:t>
      </w:r>
    </w:p>
    <w:p w:rsidRPr="00A4268A">
      <w:pPr>
        <w:spacing w:before="240" w:line="276" w:lineRule="auto"/>
        <w:rPr>
          <w:rFonts w:eastAsia="Calibri"/>
        </w:rPr>
      </w:pPr>
      <w:r w:rsidRPr="00A4268A">
        <w:rPr>
          <w:rFonts w:eastAsia="Calibri"/>
        </w:rPr>
        <w:t>There was one resident who identified as Maori at the service at the time of the audit. There are no known barriers to Maori residents accessing the service. Services are planned to respect the individual culture, values and beliefs of the residents.</w:t>
      </w:r>
    </w:p>
    <w:p w:rsidRPr="00A4268A">
      <w:pPr>
        <w:spacing w:before="240" w:line="276" w:lineRule="auto"/>
        <w:rPr>
          <w:rFonts w:eastAsia="Calibri"/>
        </w:rPr>
      </w:pPr>
      <w:r w:rsidRPr="00A4268A">
        <w:rPr>
          <w:rFonts w:eastAsia="Calibri"/>
        </w:rPr>
        <w:t>Linkages with family/whanau are encouraged.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strategic intent, philosophy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as appropriate.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accommodate any new problems that might arise. Records reviewed demonstrated that the care provided and needs of residents are reviewed and evaluated on a regular and timely basis. Residents are referred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policies and procedures that support the minimisation of restraint. No enablers or restraints were in use at the time of audit.  Policies and procedures are in place related to assessment, approval and monitoring processes should restraint be used. Use of enablers is voluntary for the safety of residents in response to individual requests.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management system is appropriate for this rest home service. The programme is reviewed annually and implemented. Infection prevention and control reduces the risk of infections to residents, staff, family/whanau and visitors. The policies and procedures reflect current good practice. Staff are provided with relevant education, as are the residents, when appropriate.</w:t>
      </w:r>
    </w:p>
    <w:p w:rsidRPr="00A4268A">
      <w:pPr>
        <w:spacing w:before="240" w:line="276" w:lineRule="auto"/>
        <w:rPr>
          <w:rFonts w:eastAsia="Calibri"/>
        </w:rPr>
      </w:pPr>
      <w:r w:rsidRPr="00A4268A">
        <w:rPr>
          <w:rFonts w:eastAsia="Calibri"/>
        </w:rPr>
        <w:t>The infection control coordinator completes a monthly surveillance programme, where infection data is collated, analysed and trended and compared with any previous data. Where trends are identified actions are implemented to reduce infections. The infection surveillance results are reported at the staff meetings. Benchmarking occurs against the organisation’s other aged residential care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2"/>
        <w:gridCol w:w="1280"/>
        <w:gridCol w:w="92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policy states the Health and Disability Commissioner`s (HDC) Code of Health and Disability Services Consumers` Rights (the Code) is to be displayed and available to residents and monitored to ensure the rights of residents are respected. New residents and family/whanau are given a copy of the Code on admission, in the information pack sighted. The Code is displayed at reception and in the dining room in full view of residents, caregivers and visitors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the Code at commencement of employment as part of the orientation/induction process. The care staff interviewed demonstrated knowledge on the Code and its implementation in their day to day practice.</w:t>
            </w:r>
          </w:p>
          <w:p w:rsidR="00EB7645" w:rsidRPr="00BE00C7" w:rsidP="00BE00C7">
            <w:pPr>
              <w:pStyle w:val="OutcomeDescription"/>
              <w:spacing w:before="120" w:after="120"/>
              <w:rPr>
                <w:rFonts w:cs="Arial"/>
                <w:b w:val="0"/>
                <w:lang w:eastAsia="en-NZ"/>
              </w:rPr>
            </w:pPr>
            <w:r w:rsidRPr="00BE00C7">
              <w:rPr>
                <w:rFonts w:cs="Arial"/>
                <w:b w:val="0"/>
                <w:lang w:eastAsia="en-NZ"/>
              </w:rPr>
              <w:t>The Code is available in English, Maori and other languages for residents with English as a second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detailed informed and voluntary consent policy is implemented. Systems are in place to ensure residents, and where appropriate their family/whanau, are provided with information to make choices and informed decisions. The registered nurse interviewed demonstrated an understanding in relation to informed consent and informed consent processes. Family and residents interviewed confirmed they had been made aware of and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 forms were sighted for sharing health information, transportation for van outings, wound photographs and procedures as needed. Forms were dated and signed appropriately. Full explanations were provided by the general practitioner and/or the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The admission agreements were signed and dated by the provider and the resident and/or representative. The admission agreements were in the individual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(GP) interviewed understood the obligations and legislative requirement to ensure competency of residents as required for advance directives and reviews are undertaken six monthly. Reviews of health status are documented on the medical records and the nursing progress notes.</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interviewed reported they received orientation/induction in the principles and practice of informed consent as part of the Code of Rights and provided evidence of understanding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advocacy policy is available to guide staff. The policy also makes reference to the complaints procedure. All residents receiving care within the organisation have appropriate access to independent advice and support, including access to a cultural and/or spiritual advocate whenever required.</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reported they were provided with all relevant information regarding access to advocacy services. Contact details of the Nationwide Health and Disability Advocacy Service is listed in the resident information pack provided. The contact numbers are documented on the reverse of the Consumers` Rights brochure. Education for staff is conducted as part of the orientation programme and is ongoing and this was evidenced in the education programme and confirmed by care staff at interview.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Visitors are able to visit anytime and families interviewed confirmed they are encouraged to visit. A visitor`s book is situated at reception and this was completed by visitors for health and safety reasons. Residents are supported and encouraged to access community services with visitors or as part of the planned activities programme. Evidence was seen of this in the activity programme records and reported by residents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since the facility opened in January 2017 and that actions taken, through to an agreed resolution, are documented and completed within the required timeframes.  Action plans show any required follow up and improvements have been made where possible. All complaints are computerised and reviewed by the general manager and/or business manager. The board are notified of significant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copy of the Code and information about the Nationwide Health and Disability Advocacy Service is provided to the resident and family on admission and the registered nurse goes through the Code with the resident/family/whanau during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The Advocacy Service poster and pamphlets were displayed, along with how to make a complaint and feedback forms.</w:t>
            </w:r>
          </w:p>
          <w:p w:rsidR="00EB7645" w:rsidRPr="00BE00C7" w:rsidP="00BE00C7">
            <w:pPr>
              <w:pStyle w:val="OutcomeDescription"/>
              <w:spacing w:before="120" w:after="120"/>
              <w:rPr>
                <w:rFonts w:cs="Arial"/>
                <w:b w:val="0"/>
                <w:lang w:eastAsia="en-NZ"/>
              </w:rPr>
            </w:pPr>
            <w:r w:rsidRPr="00BE00C7">
              <w:rPr>
                <w:rFonts w:cs="Arial"/>
                <w:b w:val="0"/>
                <w:lang w:eastAsia="en-NZ"/>
              </w:rPr>
              <w:t>The family/whanau members that were available for interview reported that the Code was explained to them on admission. Interviews with residents who were able to provide insight into their care, expressed that they were treated with respect and were happy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wishes of residents are acknowledged, sexuality and personal rights are upheld, and independence maintained, maximised and encouraged. The families interviewed reported that their relatives were treated in a manner showing regard to the resident`s dignity, privacy and independence.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records reviewed indicated that residents received appropriate service that were responsive to their needs, values and beliefs of culture, religion and ethnicity. . Church services are provided at the facility on a regular basis and church visitors visit twice a month.</w:t>
            </w:r>
          </w:p>
          <w:p w:rsidR="00EB7645" w:rsidRPr="00BE00C7" w:rsidP="00BE00C7">
            <w:pPr>
              <w:pStyle w:val="OutcomeDescription"/>
              <w:spacing w:before="120" w:after="120"/>
              <w:rPr>
                <w:rFonts w:cs="Arial"/>
                <w:b w:val="0"/>
                <w:lang w:eastAsia="en-NZ"/>
              </w:rPr>
            </w:pPr>
            <w:r w:rsidRPr="00BE00C7">
              <w:rPr>
                <w:rFonts w:cs="Arial"/>
                <w:b w:val="0"/>
                <w:lang w:eastAsia="en-NZ"/>
              </w:rPr>
              <w:t>As observed on the days of the audit and confirmed with review of the individual resident`s selected records, residents receive services to meet their needs. No concerns were raised in relation to abuse and neglect from residents, the general practitioner, family and/or staff interviewed. Staff have received education and understood their responsibilities along with who to report to if abuse/neglect was suspected with a resident or a staff member. Comments received reflected a positive atmosphere from staff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four cornerstones of Te Whare Tapa Wha provide a strong foundation for the care of each individual resident. There is one resident currently who identifies as Maori and two staff that identify as Maori. Where the organisation`s Trust Board members are unable to provide advice, the service is able to access Te Tai Tokerau Maori advisors. Within the Whangarei and wider Northland area there are multiple ethnic community groups including those who identify as Maori, Asian and European, to assist in providing culturally appropriate care for the residents, their whanau and the staff as needed.</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demonstrated understanding of services that would need to be provided for Maori residents to meet their identified needs, and the importance of whanau. Iwi if known is clearly documented on the individual resident`s record. Rooms can be blessed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cultural plan was reviewed. The service has a commitment to ensure the ethnic, cultural, spiritual values and beliefs of residents are able to be effectively met during all aspects of service delivery.  Any cultural values and beliefs are actively recognised and integrated into the individual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they received training in cultural awareness and respected al cultural needs in their everyday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files reviewed had job descriptions and employment agreements that had clear guidelines regarding professional boundaries. House rules are also part of the employment agreement and staff responsibilities were reviewed. There are clear definitions of types of discrimination in the service discrimination policy reviewed. There are key objectives to be upheld for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interviewed had completed the professional boundaries workshop which is a requirement for the New Zealand Nursing Council. The family/whanau/residents interviewed reported they are pleased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interviewed promotes and encourages best practice with staff. The implementation of handover between shifts and the staff communication book has been successful and this was discussed with caregivers interviewed. Policies and procedures are managed effectively by the business service manager. All policies and procedures sighted where applicable are linked to evidence-based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interviewed is pleased to have discussions with family if and when required and for residents to visit the practice as needed. The family and residents interviewed reported satisfaction with the services and care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The cultural procedure documents that residents and families who do not speak English shall be advised of the availability of an interpreter at the first point of contact with the service. Interpreter services are available in the community and through the Whangarei District Court and/or Northland District Health Board and can be accessed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promotes an environment that optimises communication and staff education related to appropriate communication methods.</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interviewed confirmed they are kept informed of the resident`s status, including any events adversely affecting the resident. Evidence of open disclosure was documented in the residents` records reviewed, on the accident/incident form and in the residents`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monthly reports to the board of trustees (the board) showed adequate information to monitor performance is reported using a balanced score card system and includes financial performance, health and safety, emerging risks and issues, which allows monitoring of the organisation’s strategic direction.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management is overseen by a general manager who has been in the role for eight years. The general manager is supported by members of the senior management team for the Kamo Village group which includes the services manager, the group care manager, the resident lifestyle manager, and the business support manager. The day to day management of the facility is undertaken by an experienced registered nurse who is the clinical charge nurse (CCN). The CCN transferred from another facility owned by the group in August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Members of management attend appropriate ongoing education related to their roles. The general manager attends New Zealand Aged Care Association seminars, human resource education, sits on a steering group for Aged Care Improvement, attends ‘huddles’ related to aged care collaborative advisory groups, and is an evaluator for the New Zealand Business Excellence Foundation. The CCN attends New Zealand Aged Care forums, clinical education such as pressure injury management, is medication competent and interRAI trained. Responsibilities and accountabilities are defined in a job description and individual employment agreement.  The general manager and other members of the management team confirmed their knowledge of the sector, regulatory and reporting requirements. Currency is maintained through ongoing education throughout the sector and is often bundled collectively and presented by the Northland District Health Board (NDHB), which senior staff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Northland DHB for rest home level care. Thirteen residents were receiving services under the Age Residential Care Contract, one resident was receiving NDHB Carer Support funding and one boarder, who is a private payer, receives full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general manager is absent, the service managers look after their own service, the care manager takes the responsibility for managing complaints, and the board are notified. Duties are carried out under delegated authority. During absences of key clinical staff, the clinical management is overseen by a clinical charge nurse form a sister facility and the group care manager. Both are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monitoring of outcomes, clinical incidents including infections and wounds. The service plans to undertake regular resident satisfaction surveys which are due to commence in January 2018 when the facility has been operating for a year. Data collected is benchmarked quarterly against Australian and New Zealand Health Care Providers via the Quality Performance System (QPS) organisation online. Results sighted identify the organisation’s key strengths, areas where Mountain View is performing below the industry benchmark standards, such as the number of infections, falls and skin tears, and opportunities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clinical care meetings, senior care staff meetings, health and safety meetings and general staff meetings. The QPS benchmarking results are available to all staff. A progressive write-up of the balances score card and the QPS results are reported at board meetings. The information sent to QPS includes financial information which is not available to all staff.</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audit activities, and implementation of corrective actions. Relevant corrective actions are developed and implemented to address any shortfalls. A resident satisfaction survey is yet to be undertaken but any issues raised by a resident or family member is addressed promptly as confirmed during resident and family interviews.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All current policies and procedures are available to all staff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Members of the management group described the processes for the identification, monitoring, review and reporting of risks and development of mitigation strategies. The general manager is familiar with the Health and Safety at Work Act (2015) and has implemented requirements. A health and safety meeting is held at Mountain View monthly, and a health and safety audit is undertaken monthly by the service manager. New hazards are placed in the hazard register and discussed at a joint quarterly health and safety meeting which covers all three facilities. A copy of the hazard register is discussed and given to each new staff member upon employment. Exiting staff members get an updated copy of the hazard register annually as part of the appraisal process. New hazards are also reported at each level of the service during monthly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This information is then recorded electronically on a spreadsheet which all clinical staff have access to. The information can be filtered, and individual resident information is used when undertaking an assessment review and for the six monthly interRAI updates. A review of a sample of incidents both electronically and in hard copy showed these were fully completed, incidents were investigated, action plans developed and actions followed-up in a timely manner.  Adverse event data is collated, analysed and reported at all meetings held. The board are alerted to all incidents and accidents on a monthly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business manager described essential notification reporting requirements, including for pressure injuries.  They advised there have been no notifications of significant events made to the Ministry of Health, no police investigations, coroner’s inquests, issues based audits and any other notifications, such as to public health, since Mountain View opened in January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New staff have four ‘catch-up’ meetings with a member of the senior management team within the first 90 days of employment. These meetings are used to discuss the staff member’s progress, any issues they may have and identify areas that may require further education. A formal performance review is undertaken at 90 days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and reviewed monthly, including mandatory training requirements. Care staff have either completed or commenced a New Zealand Qualification Authority education programme to meet the requirements of the provider’s agreement with the DHB. A staff member is the internal assessor for the programme. At the time of audit, pay equity status shows that one caregiver holds level two status and three caregivers hold level three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CCN is trained, competent and maintains their annual competency requirements to undertake interRAI assessments. Records reviewed demonstrated completion of the required training and completion of annual performance appraisals. InterRAI trained staff from one of the other facilities in the group covers when the CNN is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and uses interRAI reports to help determine staffing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a four-week roster cycle confirmed adequate staff cover has been provided, with staff replaced in any unplanned absence.  At least one staff member on duty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are no dedicated kitchen or laundry staff as these processes occur off site by a facility which is part of the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information is entered in all residents` records reviewed. Entries are clearly documented and are legible with signatures and designation as required. All records are integrated. The resident register is maintained. Residents` current records are stored appropriately in a locked filing cabinet. Resident information is not displayed in public view. Resident`s names are on each doorway with consent of the resident obtained on entry to the service.</w:t>
            </w:r>
          </w:p>
          <w:p w:rsidR="00EB7645" w:rsidRPr="00BE00C7" w:rsidP="00BE00C7">
            <w:pPr>
              <w:pStyle w:val="OutcomeDescription"/>
              <w:spacing w:before="120" w:after="120"/>
              <w:rPr>
                <w:rFonts w:cs="Arial"/>
                <w:b w:val="0"/>
                <w:lang w:eastAsia="en-NZ"/>
              </w:rPr>
            </w:pPr>
            <w:r w:rsidRPr="00BE00C7">
              <w:rPr>
                <w:rFonts w:cs="Arial"/>
                <w:b w:val="0"/>
                <w:lang w:eastAsia="en-NZ"/>
              </w:rPr>
              <w:t>Staff records are maintained by the clinical manager. Information is able to be retrieved as required. A system is in place for accessing archived records if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general practitioner (GP)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Records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provided as appropriate. A copy of the GP referral letter would be retained in the resident`s individual record. The service uses the DHB`s `yellow envelope` system to facilitate transfer of residents to and from acute care services. There is open communication between all services, the resident and the family/whanau.  A copy of the medication record is provided and any other relevant information is provided for the ongoing management of the resident. All transfers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policy reviewed reflected current safe practice guidelines.</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was observed on the day of the audit. The staff member observed demonstrated good knowledge and had a clear understanding of the role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registered nurse checks medications against the prescription. All medications sighted were within current use by dates. The pharmacist checks all medications dispensed and this is recorded on each page of the signing records provided.</w:t>
            </w:r>
          </w:p>
          <w:p w:rsidR="00EB7645" w:rsidRPr="00BE00C7" w:rsidP="00BE00C7">
            <w:pPr>
              <w:pStyle w:val="OutcomeDescription"/>
              <w:spacing w:before="120" w:after="120"/>
              <w:rPr>
                <w:rFonts w:cs="Arial"/>
                <w:b w:val="0"/>
                <w:lang w:eastAsia="en-NZ"/>
              </w:rPr>
            </w:pPr>
            <w:r w:rsidRPr="00BE00C7">
              <w:rPr>
                <w:rFonts w:cs="Arial"/>
                <w:b w:val="0"/>
                <w:lang w:eastAsia="en-NZ"/>
              </w:rPr>
              <w:t>There are no controlled drugs currently on site.</w:t>
            </w:r>
          </w:p>
          <w:p w:rsidR="00EB7645" w:rsidRPr="00BE00C7" w:rsidP="00BE00C7">
            <w:pPr>
              <w:pStyle w:val="OutcomeDescription"/>
              <w:spacing w:before="120" w:after="120"/>
              <w:rPr>
                <w:rFonts w:cs="Arial"/>
                <w:b w:val="0"/>
                <w:lang w:eastAsia="en-NZ"/>
              </w:rPr>
            </w:pPr>
            <w:r w:rsidRPr="00BE00C7">
              <w:rPr>
                <w:rFonts w:cs="Arial"/>
                <w:b w:val="0"/>
                <w:lang w:eastAsia="en-NZ"/>
              </w:rPr>
              <w:t>The medication trolley is locked when not in use. The required three monthly GP reviews were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the audit. An appropriate process is in place to ensure this is managed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noted on the day of the audit that medication allergies were clearly documented on the individual resident’s records and in the interRAI assessments, but had been omitted on the individual medicine charts reviewed. The sample was expanded, the records updated immediately, and the pharmacist advised.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by a qualified cook from the organisation`s largest site, and is in line with recognised nutritional guidelines for older people. The menu follows summer and winter patterns and has been reviewed by a qualified dietitian. The service also meets the requirements of the Food Control Plan dated January 2107. The certificate is displayed at Kamo Home and Hospital. All staff have completed relevant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has completed a nutritional assessment for each resident on admission to the facility and a dietary profile has been developed.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are completed in line with current legislation and guidelines.  The food is transported at lunchtime in a `hot box` and served to residents. The cook has a copy of all residents’ likes and dislikes and/or any special dietary needs. Temperatures of food transported is monitored prior to transportation and when served. The last food service audit was performed in August 2017 and was sighted in the minutes of the meeting for QPS-benchmarking completed quarterly and this evidenced that all aspects off the food service was managed effectively and all residents`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in residents’ meetings minutes reviewed. Residents were seen to be given sufficient time to eat their meal in an unhurried manner and those requiring assistance had this provided.  Family present at meal time were offered a meal and beverage.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criteria, the local Needs Assessment Service Coordinator (NASC) is advised to ensure the prospective resident and family are supported to find an appropriate care alternative. If the needs of a resident change and they are no longer suitable for the service offered, a referral for reassessment to the NASC is made and a new placement found, in consultation with the resident and family/whanau. There is a clause in the service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Norton scale, Abbey pain scale, nutritional screening and falls risk tools, as a means to identify any deficits and to inform care planning. The sample of care plans reviewed had an integrated range of resident-related information. All resident had current interRAI assessments completed by the one training interRAI assessor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 service integration with progress notes, activities notes, medical (typed) notes and allied health professionals` notations clearly written, informative and relevant. Any change in care required is documented and verbally passed onto the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adequately provided. Care staff confirmed that care was provided as outlined in documentation. A range of equipment and resources was available, suited to the rest home level of care provided and in accordance with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activities staff who work at this rest home and for other services within the organisation. There are six staff who are responsible for implementing the activities programme. Volunteers assist across the organisation. There is one trained diversional therapist who covers the organisation’s three facilities. The activities coordinator is responsible for welcoming new residents to this facility and for completing the activities assessments on admission. The coordinator from the assessment information provided by residents and/or family/representatives develops a `Map of Life` which incorporates a photo of the resident and all history and interests the individual resident may have. Activities assessments are regularly reviewed to help formulate an activities programme that is meaningful to the residents. The long term care plans and the activities plans are reviewed at the same time.</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and group activities and regular events are offered. Residents` and families/whanau are involved in evaluating and improving the programme through residents`/family meetings. Residents were seen to be enjoying the programme and those interviewed stated they are fun and enjoyed the music sessions.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evaluated each shift and reported in the progress notes. If any changes are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 monthly interRAI reassessment, or as residents` needs change. Where progress is different from expected, the service responds by initiating changes to the health care plan. Examples of short term care plans being reviewed and progress evaluated were noted for urinary infections and wounds. When necessary, and for unresolved problems, long term care plans were updated. Residents and families/whanau interviewed stated they were always notified of any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providers. Although the service has a contracted GP, residents may choose to use another medical practitioner. If the need arose for other non-urgent services being indicated, the GP or registered nurse sends a referral to seek specialist input. Copies of any referral are kept in the residents` records. The resident and/or family/representative are kept well informed of the referral process, as verified by documentation and interviews. Any acute referrals are attended to immediately, such as sending a resident to the after-hours emergency clinic or by ambulance to the DHB if the circumstances dictate.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Staff have undertaken safe chemical handling and personal protective clothing and equipment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November 2018,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 with the service manager and observation of the environment. There is a system in place to test all resident’s electrical equipment when they are admitted to the facility and updates are maintained to meet legislative requirements.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 and setting.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is required and that any requests are appropriately actioned. Residents and family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two bedrooms which have toilet ensuites and separate staff and visitor toilets. Appropriately secured and approved handrails are provided in the toilet/shower areas, and other equipment/accessories are available to promote resident independence.  Water temperatures are check regularly and if they go above the required 45 degrees Celsius, an external provider is called in to check the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separate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off site by another facility owned by the group. There is a daily pick-up and delivery service. Staff and residents report that there are no issues with the laundry being returned in a timely manner. Care staff demonstrated a sound knowledge of the laundry processes, and handling of soiled linen.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designated cleaning staff from the group who undertake a full clean twice a week and cleaning duties are undertaken by caregivers at other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were stored in a lockable cupboard and were in appropriately labelled containers. There is a specific cleaning trolley and safety data sheets are available where chemicals are stored.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and QPS quality checks are undertaken and reported throughout the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20 January 2017.  A trial evacuation takes place six-monthly with a copy sent to the New Zealand Fire Service, the most recent being on 20 November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19 residents. A 500 litre water storage tank and a bio cycle water dripper lines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three monthly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by staff. There are CCTV cameras in common areas and at the front driveway. There are signs alerting visitors that the cameras are in operation and this is discussed with residents and their families when they enter the facility. There is adequate outdoor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electric night store heaters in the corridors and in residents’ bedrooms. Residents’ bedrooms have individual thermostats so residents can keep their areas at a temperature suitable for themselves. The dining area and one lounge have electric heat pumps.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risk of infections to residents, staff and visors. The programme is guided by a current infection control manual, with input from the organisation`s group care service manager who oversees the service. The infection control programme will be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care service manager is a registered nurse and the designated IPC coordinator, whose role and responsibilities are defined in a job description. Infection control matters, including surveillance results, are reported monthly to the general manager, and tabled at the quality and risk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is used as required. The infection control manual provides guidance for staff about how long they must stay away from work if they have been unwell. Staff interviewed understood these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this role. The group care services manager attended infection prevention and control revision at the DHB on the 07 November 2017.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outbreaks of an infection. There have been no outbreaks of infection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 and current accepted good practice. Policies were last reviewed February 2017 and included appropriate referencing. Care delivery, cleaning, laundry and kitchen staff were observed following organisational policies, such as appropriate use of hand-sanitisers, hand washing techniques and use of disposable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the registered nurse and the IPC coordinator. Basic training has been provided and the education is to be reviewed for 2018. A record of attendance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generally on a one-to-one basis. Hand hygiene is encouraged and demonstrated by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a long term care facilities and includes infections of the urinary tract, soft tissue, fungal, eye, gastro-intestinal, the upper and lower respiratory tract and skin conditions. Any reported infections are reported monthly and documented. Any required management of any new infections are discussed at handover between shifts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Graphs are produced to identify any trends and this is reported to the general manager. Benchmarking occurs between the other facilities in the organisation. Benchmarking has provided assurance that infection rates in the facility are low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were amended at the time of audit to better reflect the definition of restraint. The CCN, is the restraint coordinator and would provide support and oversight for enabler and restraint management in the facility, should this be required. They understood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or enablers. Policy states that enablers are equipment, devices or furniture voluntarily used by a resident following appropriate assessment that limit normal freedom of movement with the intent of promoting independence, dignity, respect, comfort or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training in restraint minimisation and related topics, such as positively supporting people with challenging behaviours. Staff understand that restraint would only be used as a last resort when all alternatives have been explored.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Kamo Home and Village Charitable Trust - Mountain View</w:t>
    </w:r>
    <w:bookmarkEnd w:id="58"/>
    <w:r>
      <w:rPr>
        <w:rFonts w:cs="Arial"/>
        <w:sz w:val="16"/>
        <w:szCs w:val="20"/>
      </w:rPr>
      <w:tab/>
      <w:t xml:space="preserve">Date of Audit: </w:t>
    </w:r>
    <w:bookmarkStart w:id="59" w:name="AuditStartDate1"/>
    <w:r>
      <w:rPr>
        <w:rFonts w:cs="Arial"/>
        <w:sz w:val="16"/>
        <w:szCs w:val="20"/>
      </w:rPr>
      <w:t>5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