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Elderslea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Elderslea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November 2017</w:t>
      </w:r>
      <w:bookmarkEnd w:id="7"/>
      <w:r w:rsidRPr="009418D4">
        <w:rPr>
          <w:rFonts w:cs="Arial"/>
        </w:rPr>
        <w:tab/>
        <w:t xml:space="preserve">End date: </w:t>
      </w:r>
      <w:bookmarkStart w:id="8" w:name="AuditEndDate"/>
      <w:r w:rsidR="00A4268A">
        <w:rPr>
          <w:rFonts w:cs="Arial"/>
        </w:rPr>
        <w:t>22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Conversion of the 13 bed dementia unit back to 13 dual purpose beds (hospital/rest home).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Elderlea Rest Home (Oceania Healthcare Limited) can provide care for up to 124 residents. This surveillance audit was conducted against a sub set of Health and Disability Service Standards and the service contract with the district health board. Occupancy on the day of the audit was 124. The service provides rest home, hospital and dementia levels of care.</w:t>
      </w:r>
    </w:p>
    <w:p w:rsidRPr="00A4268A">
      <w:pPr>
        <w:spacing w:before="240" w:line="276" w:lineRule="auto"/>
        <w:rPr>
          <w:rFonts w:eastAsia="Calibri"/>
        </w:rPr>
      </w:pPr>
      <w:r w:rsidRPr="00A4268A">
        <w:rPr>
          <w:rFonts w:eastAsia="Calibri"/>
        </w:rPr>
        <w:t xml:space="preserve">The audit process included the review of policies and procedures, the review of residents and staff files, and observations and interviews with residents, family, management, staff and a general practitioner. The audit also included review of the re-conversion of 13 dementia beds back to 13 dual purpose beds. </w:t>
      </w:r>
    </w:p>
    <w:p w:rsidRPr="00A4268A">
      <w:pPr>
        <w:spacing w:before="240" w:line="276" w:lineRule="auto"/>
        <w:rPr>
          <w:rFonts w:eastAsia="Calibri"/>
        </w:rPr>
      </w:pPr>
      <w:r w:rsidRPr="00A4268A">
        <w:rPr>
          <w:rFonts w:eastAsia="Calibri"/>
        </w:rPr>
        <w:t>The business and care manager is responsible for the overall management of the facility and is supported by the regional and executive management team. Service delivery is monitored. All the standards reviewed at this surveillance audit were fully attained.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evidence of open disclosure and communication systems to ensure effective communication between staff, patients and their families. There is access to interpreter and translation services as required.</w:t>
      </w:r>
    </w:p>
    <w:p w:rsidRPr="00A4268A">
      <w:pPr>
        <w:spacing w:before="240" w:line="276" w:lineRule="auto"/>
        <w:rPr>
          <w:rFonts w:eastAsia="Calibri"/>
        </w:rPr>
      </w:pPr>
      <w:r w:rsidRPr="00A4268A">
        <w:rPr>
          <w:rFonts w:eastAsia="Calibri"/>
        </w:rPr>
        <w:t xml:space="preserve">Staff interviewed are able to demonstrate an understanding of residents' rights and obligations including the complaints process. Information regarding the complaints process is available to residents and their family. Information regarding the complaints process is available to residents and their family on admission. A complaints register is maintained and complaints are reviewed and investigated with documentation completed. Staff communicate with residents and family members following any incident, with this recorded in the resident’s file. Residents and family state that the environment is conducive to communication, including identification of any issues.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 provided at Elderslea Rest Home. The business and care manager is qualified and experienced in management systems and processes. The business and care manager, the clinical manager and the three charge nurses are supported by the clinical and quality manager (regional), the operations manager (regional) and the senior clinical and quality manager (national) regarding oversight of the service and clinical care. </w:t>
      </w:r>
    </w:p>
    <w:p w:rsidRPr="00A4268A">
      <w:pPr>
        <w:spacing w:before="240" w:line="276" w:lineRule="auto"/>
        <w:rPr>
          <w:rFonts w:eastAsia="Calibri"/>
        </w:rPr>
      </w:pPr>
      <w:r w:rsidRPr="00A4268A">
        <w:rPr>
          <w:rFonts w:eastAsia="Calibri"/>
        </w:rPr>
        <w:t xml:space="preserve">Oceania Healthcare Limited has a documented quality and risk management system that supports and guides the provision of clinical care at the service. Policies are reviewed at support office and are current. Quality and risk performance is reported through meetings at the facility and monitored by the organisation's management team through the business status reports. Benchmarking reports are produced that include incidents/accidents, infections, complaints and clinical indicators. </w:t>
      </w:r>
    </w:p>
    <w:p w:rsidRPr="00A4268A">
      <w:pPr>
        <w:spacing w:before="240" w:line="276" w:lineRule="auto"/>
        <w:rPr>
          <w:rFonts w:eastAsia="Calibri"/>
        </w:rPr>
      </w:pPr>
      <w:r w:rsidRPr="00A4268A">
        <w:rPr>
          <w:rFonts w:eastAsia="Calibri"/>
        </w:rPr>
        <w:t>There are human resource policies implemented around recruitment, selection, orientation, staff training and development. Staff, residents and family confirmed that staffing levels are adequate and residents and relatives have access to staff when needed. Staff are allocated to support residents as per their individual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Needs assessments are completed within the required timeframes. </w:t>
      </w:r>
    </w:p>
    <w:p w:rsidRPr="00A4268A" w:rsidP="00621629">
      <w:pPr>
        <w:spacing w:before="240" w:line="276" w:lineRule="auto"/>
        <w:rPr>
          <w:rFonts w:eastAsia="Calibri"/>
        </w:rPr>
      </w:pPr>
      <w:r w:rsidRPr="00A4268A">
        <w:rPr>
          <w:rFonts w:eastAsia="Calibri"/>
        </w:rPr>
        <w:t>Initial assessments are completed on admission and person centred care plans are individualised and based on interRAI assessments. Person centred care plans are comprehensive and include an integrated range of clinical assessments. Short-term care plans are in place to manage acute problems. Residents’ records reviewed demonstrated that their needs, goals and outcomes are identified and reviewed at regular intervals. Residents and their families confirmed they are informed and involved in care planning and evaluation of care. Handovers confirmed continuity of care.</w:t>
      </w:r>
    </w:p>
    <w:p w:rsidRPr="00A4268A" w:rsidP="00621629">
      <w:pPr>
        <w:spacing w:before="240" w:line="276" w:lineRule="auto"/>
        <w:rPr>
          <w:rFonts w:eastAsia="Calibri"/>
        </w:rPr>
      </w:pPr>
      <w:r w:rsidRPr="00A4268A">
        <w:rPr>
          <w:rFonts w:eastAsia="Calibri"/>
        </w:rPr>
        <w:t>The diversional therapist and two activities coordinators implement the activities programme which is reviewed annually. The programme provides residents with a variety of individual and group activities, including additional activities for younger people. The service uses their facility bus for outings in the community. Residents in the dementia unit have 24 hour challenging behaviour activity plans to ensure these behaviours are managed successfully.</w:t>
      </w:r>
    </w:p>
    <w:p w:rsidRPr="00A4268A" w:rsidP="00621629">
      <w:pPr>
        <w:spacing w:before="240" w:line="276" w:lineRule="auto"/>
        <w:rPr>
          <w:rFonts w:eastAsia="Calibri"/>
        </w:rPr>
      </w:pPr>
      <w:r w:rsidRPr="00A4268A">
        <w:rPr>
          <w:rFonts w:eastAsia="Calibri"/>
        </w:rPr>
        <w:t>Medicines management occurs according to policies and procedures which are in alignment with legislative requirements and implemented using an electronic system. Medicines management competencies were current for staff who administer medicines. The service does not currently have any residents self-administering medicines.</w:t>
      </w:r>
    </w:p>
    <w:p w:rsidRPr="00A4268A" w:rsidP="00621629">
      <w:pPr>
        <w:spacing w:before="240" w:line="276" w:lineRule="auto"/>
        <w:rPr>
          <w:rFonts w:eastAsia="Calibri"/>
        </w:rPr>
      </w:pPr>
      <w:r w:rsidRPr="00A4268A">
        <w:rPr>
          <w:rFonts w:eastAsia="Calibri"/>
        </w:rPr>
        <w:t>The food service meets the nutritional and other specific needs of the residents. Staff completed food safety qualifications. The kitchen was meets food safety standards. Residents confirmed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All building and plant comply with legislation, with a current building warrant of fitness in place. There have been no building modifications since the last audit, including the conversion of 13 dementia beds to dual purpose.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implements policies and procedures that support the minimisation of restraint. Enabler use is voluntary. There were two enablers in use and eight residents using restraints at the time of audit. Restraint is only used as a last resort when all other options have been explored. Staff interviews confirmed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is appropriate to the size and scope of the services. Infection control management systems are in place to minimise the risk of infection to residents, visitors and staff. Infection control and prevention data is collated monthly, analysed and reported to Oceania Healthcare Limited support office, management and staff. Results of the surveillance are acted upon, evaluated and reported. The service participates in internal benchmarking.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32"/>
        <w:gridCol w:w="1280"/>
        <w:gridCol w:w="97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is in line with the Health and Disability Commissioner’s Code of Health and Disability Consumers’ Rights (the Code) and includes timeframes for responding to a complaint. Complaint forms are available at the entrance of the facility. A complaints register is in place and the register includes: the date the complaint is received; the source of the complaint; a description of the complaint; and the date the complaint is resolved. </w:t>
            </w:r>
          </w:p>
          <w:p w:rsidR="00EB7645" w:rsidRPr="00BE00C7" w:rsidP="00BE00C7">
            <w:pPr>
              <w:pStyle w:val="OutcomeDescription"/>
              <w:spacing w:before="120" w:after="120"/>
              <w:rPr>
                <w:rFonts w:cs="Arial"/>
                <w:b w:val="0"/>
                <w:lang w:eastAsia="en-NZ"/>
              </w:rPr>
            </w:pPr>
            <w:r w:rsidRPr="00BE00C7">
              <w:rPr>
                <w:rFonts w:cs="Arial"/>
                <w:b w:val="0"/>
                <w:lang w:eastAsia="en-NZ"/>
              </w:rPr>
              <w:t>Evidence relating to each complaint is held in the complaints folder and register. Complaints reviewed indicated complaints are investigated promptly and issues are resolved in a timely manner. Staff, residents and family confirmed they know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is responsible for managing complaints and residents and family stated that these are dealt with as soon as they are identified. Residents and family members were able to describe their rights and advocacy services particularly in relation to the complaints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accident/incidents, and the open disclosure procedure alert staff to their responsibility to notify family/enduring power of attorney (EPOA)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Family confirmed they are informed and that they are invited to the care planning meetings for their family member and can attend the residents’ meetings. Family contact is recorded in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sign an admission agreement on entry to the service. This provides clear information around what is paid for by the service and by the resident. </w:t>
            </w:r>
          </w:p>
          <w:p w:rsidR="00EB7645" w:rsidRPr="00BE00C7" w:rsidP="00BE00C7">
            <w:pPr>
              <w:pStyle w:val="OutcomeDescription"/>
              <w:spacing w:before="120" w:after="120"/>
              <w:rPr>
                <w:rFonts w:cs="Arial"/>
                <w:b w:val="0"/>
                <w:lang w:eastAsia="en-NZ"/>
              </w:rPr>
            </w:pPr>
            <w:r w:rsidRPr="00BE00C7">
              <w:rPr>
                <w:rFonts w:cs="Arial"/>
                <w:b w:val="0"/>
                <w:lang w:eastAsia="en-NZ"/>
              </w:rPr>
              <w:t>The interpreter policy guides staff to access interpreters when required. A multicultural staff mix enable staff to meet the needs of the two residents requiring assistance with translation.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Elderslea Rest Home is part of Oceania Healthcare Limited (Oceania) with the executive management team including the chief executive, general manager, regional manager, operations manager and clinical and quality managers providing support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values, goals and a philosophy documented in the strategic overview of the service. The services organisational philosophy and strategic plan reflect a person/family centred approach. The strategic plan also includes a marketing plan and a strengths, weaknesses, opportunities, and threats analysis. These are communicated to residents, staff and family through information in booklets, in staff orientation and the web site.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BCM supported by a clinical manager (CM). The BCM has been in the role for one year and has previous experience in management. The CM has been in the position for seven years, The BCM and CM hold current annual practising certificates and are supported by the regional clinical and quality manager (CQM). The management team is supported in their roles and have completed induction, orientation and eight hours training relevant to their roles annually.</w:t>
            </w:r>
          </w:p>
          <w:p w:rsidR="00EB7645" w:rsidRPr="00BE00C7" w:rsidP="00BE00C7">
            <w:pPr>
              <w:pStyle w:val="OutcomeDescription"/>
              <w:spacing w:before="120" w:after="120"/>
              <w:rPr>
                <w:rFonts w:cs="Arial"/>
                <w:b w:val="0"/>
                <w:lang w:eastAsia="en-NZ"/>
              </w:rPr>
            </w:pPr>
            <w:r w:rsidRPr="00BE00C7">
              <w:rPr>
                <w:rFonts w:cs="Arial"/>
                <w:b w:val="0"/>
                <w:lang w:eastAsia="en-NZ"/>
              </w:rPr>
              <w:t>Communication between the service and the BCM takes place on at least a monthly basis. The operations manager and the senior clinical and quality manager provided support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124 residents. During the audit there were 124 residents living at the facility including 35 residents requiring rest home level of care; 69 residents requiring hospital level and 20 dementia care. These numbers included three young persons under 65 years under long-term chronic illness contracts requiring hospital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Elderslea Rest Home uses the Oceania quality and risk management framework to guide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organisational policies and procedures are available to staff and guide service delivery. The policies and procedures are relevant to the scope and complexity of the service; reflect current accepted good practice, and reference legislative requirements. The Oceania management group reviews all policies with input from relevant personnel. New and revised policies are presented to staff to read and sign to evidence that they have read and understood the policy. Staff confirmed they are advised of updated policies and that policies and procedures provide appropriate guidance for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a number of clinical indicators, including but not limited to, complaints; incidents and accidents; surveillance of infections; pressure injuries; falls; medication errors and implementation of an internal audit programme. Quality improvement data reviewed provides evidence that data is being collected, collated and analysed to identify trends. Where required, corrective action plans are developed, implemented and evaluated.</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communication with all staff, residents and family through the facility’s meetings and newsletters. Staff meetings evidence all aspects of quality improvement, risk management and clinical indicators are discussed. Staff report that they are kept informed of quality improvements. Copies of meeting minutes are available for review for the staff that were unable to attend the meeting. There are currently four continuous improvements projects being initiated as a result of identifying changes in trends relating to clinical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satisfaction survey for family and residents in 2017 shows that they are satisfied with services provided and this was confirmed by residents and family interviewed.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two YPD residents confirmed that they have input into their care plans, access to technology, aids, equipment and are supported to participate in a range of education, recreation, leisure, cultural community events consistent with their interests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along with a hazard management programme. There is evidence of hazard identification forms completed when a hazard is identified. Hazards are addressed and risks minimised or isolated. Health and safety is audited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in which the service is required to report and notify statutory authorities, including: unexpected deaths; police attending the facility; sentinel events; infectious disease outbreaks and changes in key management roles.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review of documentation evidence that staff document adverse, unplanned or untoward events on an accident/incident form which are signed off by the BCM. There have been three sentinel events reported to the Ministry of Health since the last audit, which have all been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in relation to human resource management are available and implemented. The skills and knowledge required for each position is documented in job descriptions. These were reviewed on staff files along with employment agreements; reference checks; police vetting and completed orientations. Current copies of annual practising certificates were reviewed for all staff and contractors that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mandatory education and training programme with an annual training schedule documented. Staff are also supported to complete education via external education providers. Staff have completed training around pressure injuries in 2016 and 2017. Individual staff attendance records and attendance records for each education session were reviewed and evidenced ongoing education is provided. Nine RNs have completed interRAI assessments training and competencies. An appraisal schedule is in place and current staff appraisals were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and new staff are required to demonstrate competency on a number of tasks, including personal cares before they are signed off. The staff orientation covers the essential components of the service provided. Healthcare assistants confirm their role in supporting and buddying new staff. The service has designated RN time to oversee orientation and implement in service training.</w:t>
            </w:r>
          </w:p>
          <w:p w:rsidR="00EB7645" w:rsidRPr="00BE00C7" w:rsidP="00BE00C7">
            <w:pPr>
              <w:pStyle w:val="OutcomeDescription"/>
              <w:spacing w:before="120" w:after="120"/>
              <w:rPr>
                <w:rFonts w:cs="Arial"/>
                <w:b w:val="0"/>
                <w:lang w:eastAsia="en-NZ"/>
              </w:rPr>
            </w:pPr>
            <w:r w:rsidRPr="00BE00C7">
              <w:rPr>
                <w:rFonts w:cs="Arial"/>
                <w:b w:val="0"/>
                <w:lang w:eastAsia="en-NZ"/>
              </w:rPr>
              <w:t>Annual competencies are completed by clinical care staff. Education and training hours reviewed evidenced that staff have had in excess of eight hours training in the past year around clinical topics, for example: wound management; dementia specific training and education relevant to physical disability.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underpins and guides the workforce planning. Staffing levels are reviewed for anticipated workloads, identified numbers and appropriate skill mix, or as required due to changes in the services provided and/or the number of residents. Rosters sighted reflected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There are 122 staff, including the management team, clinical staff, a diversional therapist, and household staff. There is always a registered nurse on each shift. There is an after-hours on call roster which includes the BCM, CM and charge nurses (CN). Residents and families confirmed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system is documented and implemented and complies with legislation, protocols and guidelines. The service uses pharmacy pre-packaged medicine that is checked by the RN on delivery. An electronic system for administration of medicines is used. Weekly checks and six-monthly drug stocktakes are completed. Drug registers reviewed were up-to-date. The medication refrigerator temperatures are monitored and within the required range.  The service has a system in place for returning expired or unused medications to the pharmacy. All medications are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medication competencies were evident in staff files sampled. The staff administering medication complied with the medicine administration policies and procedures. Medicines management is recorded to level of detail and communicated to residents in a way that complies with legislation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young people with disabilities wishing to self-administer medicines when able. There were no residents who self-administered medicines during the on-site audit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Food temperatures, including high risk items, are monitored appropriately and recorded as part of the plan. The food service manager has completed a safe food handling qualification. Kitchen assistants have completed relevant food handling training. Healthcare assistants are responsible for assisting residents with their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used, follows summer and winter patterns and has been reviewed by a dietitian within the last two years. A nutritional assessment is undertaken for each resident on admission to the facility and a dietary profile developed. The personal food preferences, any special diets and modified texture requirements are made known to the chef and to the kitchen hand at this facility to ensure the special needs of the residents are met.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reviewed are based on assessed needs, desired outcomes and goals of the residents. Care plans are completed by RNs and include specific interventions for both long-term and the short-term problems. When short-term problem lasts longer than 30 days staff recognise it as a long-term problem and transfer the management plan to the long-term person centred care plan.</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are current. Interviews with residents and families confirmed care and treatments meet their needs. Staff interviews confirmed they are familiar with the needs of the residents. Family communication is recorded in the residents’ files. The nursing progress notes and observation charts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maintains links with other service providers in the community to ensure resident needs are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developed and implemented by a diversional therapist (DT), with the assistance of two activities coordinators. The residents’ activities assessments are conducted by the DT within the three weeks of the residents’ admission to the facility. Residents’ interests are recorded during an interview with the resident and their family. Residents in the dementia unit have 24 hour challenging behaviour activity plans to ensure management strategies for when these residents present with challenging behaviour. Residents under the age of 65 have additional activities and participate in a range of education, recreation, leisure, cultural and community events consistent with their interests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The activity care plan is part of the long-term care plan and reflects the residents’ preferred activities. There was evidence the activities staff are part of the evaluation process. The residents and their families reported satisfaction with the activities provided. During the on-site audit the residents were observed engaging in a variety of activities and outings. Resident meetings are conducted bi-monthly. Past minutes of residents’ meetings are displayed on notice board for resident and family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person centred and the short-term care plans are evaluated in a timely manner. Evaluations include the degree of achievement towards meeting desired goals and outcomes. Residents’ responses to the treatment are documented. Changes in the interventions are initiated when the desired goals/outcomes are not met. Short-term care plans are developed for short term acute problems. The short-term care plans reviewed were signed, dated and closed out when the short-term problem had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There have been no building modifications since the last audit.  The 13 bed dementia unit, which was a separate unit to the 20 bed dementia unit, has been reconfigured back to 13 hospital dual purpose beds. There was no building alterations required to facilitate the reconfiguration, as the area was originally used for hospital level care residents. The rooms are large and can facilitate the use of equipment. There are adequate shared ensuites and wide corridors. There is a dining area and a large lounge with garden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surveillance policy identifies requirements regarding surveillance of infections. The infection logs are maintained and collated monthly by the infection control nurse. A RN is the infection control nurse. Collated infection control data is communicated as clinical indicators to the Oceania support office, management and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GP confirmed infections are reported in a timely manner. Interviews with staff reported they are made aware of infections through feedback from the RNs, verbal handovers, short-term care plans and progress notes.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restraint minimisation and safe practice handbook and policies comply with legislative requirements. The CM is the restraint coordinator. A signed position description was sighted. There were two residents using enablers and eight residents using restraints during the on-site audit days. The restraint register is maintained and current. Required documentation relating to enablers is recorded. Enabler use is voluntary. Staff receive restraint education via the Oceania study days and RN study days.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Elderslea Rest Home</w:t>
    </w:r>
    <w:bookmarkEnd w:id="58"/>
    <w:r>
      <w:rPr>
        <w:rFonts w:cs="Arial"/>
        <w:sz w:val="16"/>
        <w:szCs w:val="20"/>
      </w:rPr>
      <w:tab/>
      <w:t xml:space="preserve">Date of Audit: </w:t>
    </w:r>
    <w:bookmarkStart w:id="59" w:name="AuditStartDate1"/>
    <w:r>
      <w:rPr>
        <w:rFonts w:cs="Arial"/>
        <w:sz w:val="16"/>
        <w:szCs w:val="20"/>
      </w:rPr>
      <w:t>21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