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St Christophers</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Christophers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31 August 2017</w:t>
      </w:r>
      <w:bookmarkEnd w:id="7"/>
      <w:r w:rsidRPr="009418D4">
        <w:rPr>
          <w:rFonts w:cs="Arial"/>
        </w:rPr>
        <w:tab/>
        <w:t xml:space="preserve">End date: </w:t>
      </w:r>
      <w:bookmarkStart w:id="8" w:name="AuditEndDate"/>
      <w:r w:rsidR="00A4268A">
        <w:rPr>
          <w:rFonts w:cs="Arial"/>
        </w:rPr>
        <w:t>31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St Christopher’s Rest Home and Hospital is owned and operated by CHT and cares for up to 46 residents requiring rest home and hospital level care, with full occupancy on day of the audit.</w:t>
      </w:r>
    </w:p>
    <w:p w:rsidRPr="00A4268A">
      <w:pPr>
        <w:spacing w:before="240" w:line="276" w:lineRule="auto"/>
        <w:rPr>
          <w:rFonts w:eastAsia="Calibri"/>
        </w:rPr>
      </w:pPr>
      <w:r w:rsidRPr="00A4268A">
        <w:rPr>
          <w:rFonts w:eastAsia="Calibri"/>
        </w:rPr>
        <w:t>The manager has over nine years aged care experience and has been in her current position since the previous audit.  The clinical coordinator has many years of acute care experience and has been in aged care for two years.  She has been in her current role since January 2017 and was previously working at another CHT facility. The manager reports to the area manager weekly on a variety of operational issues and participates in the monthly manager’s meeting.  The quality and the risk management programme is implemented, and residents, relatives and the GP interviewed spoke positively about the service provided.</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family members, staff, management and the GP. </w:t>
      </w:r>
    </w:p>
    <w:p w:rsidRPr="00A4268A">
      <w:pPr>
        <w:spacing w:before="240" w:line="276" w:lineRule="auto"/>
        <w:rPr>
          <w:rFonts w:eastAsia="Calibri"/>
        </w:rPr>
      </w:pPr>
      <w:r w:rsidRPr="00A4268A">
        <w:rPr>
          <w:rFonts w:eastAsia="Calibri"/>
        </w:rPr>
        <w:t xml:space="preserve">Previous audit findings around regular turns, medication documentation and trend analysis of quality data and communication of these trends have been addressed. </w:t>
      </w:r>
    </w:p>
    <w:p w:rsidRPr="00A4268A">
      <w:pPr>
        <w:spacing w:before="240" w:line="276" w:lineRule="auto"/>
        <w:rPr>
          <w:rFonts w:eastAsia="Calibri"/>
        </w:rPr>
      </w:pPr>
      <w:r w:rsidRPr="00A4268A">
        <w:rPr>
          <w:rFonts w:eastAsia="Calibri"/>
        </w:rPr>
        <w:t>This surveillance audit did not identify any areas requiring improvement.</w:t>
      </w:r>
    </w:p>
    <w:p w:rsidRPr="00A4268A">
      <w:pPr>
        <w:spacing w:before="240" w:line="276" w:lineRule="auto"/>
        <w:rPr>
          <w:rFonts w:eastAsia="Calibri"/>
        </w:rPr>
      </w:pPr>
      <w:r w:rsidRPr="00A4268A">
        <w:rPr>
          <w:rFonts w:eastAsia="Calibri"/>
        </w:rPr>
        <w:t xml:space="preserve">The previous continuous improvement rating around meeting nutritional needs continues.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disclosure principles are implemented in all aspects of service delivery.  Family are informed when the resident health status changes.  There is a documented process for making complaints.  The complaint register is up-to-date and includes actions taken and sign-off.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business plan is current and includes an organisational mission statement, vision and values.  The quality and risk management programme is fully implemented.  Corrective actions are identified, implemented and followed, through audits and feedback from residents and staff.  Resident and staff meetings have been held.  Health and safety policies, systems and processes are implemented to manage the risk.  Incidents and accidents are appropriately managed with reporting to staff evident in meeting minutes reviewed.  Human resources are managed in accordance with good employment practice.  An orientation programme is in place for new staff.  An education and training plan is being implemented and includes in-service education and competency assessments.  Registered nurse cover is provided 24 hours a day, 7 days a week.</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and within contractual timeframes.  Care plans viewed demonstrated service integration and are reviewed at least six-monthly.  Resident files include medical notes by the contracted general practitioners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and are implemented.  Registered nurses and senior healthcare assistants are responsible for the administration of medicines and complete education and medication competencies.  Medication charts are reviewed three-monthly by the GP. </w:t>
      </w:r>
    </w:p>
    <w:p w:rsidRPr="00A4268A" w:rsidP="00621629">
      <w:pPr>
        <w:spacing w:before="240" w:line="276" w:lineRule="auto"/>
        <w:rPr>
          <w:rFonts w:eastAsia="Calibri"/>
        </w:rPr>
      </w:pPr>
      <w:r w:rsidRPr="00A4268A">
        <w:rPr>
          <w:rFonts w:eastAsia="Calibri"/>
        </w:rPr>
        <w:t xml:space="preserve">The activities coordinators implement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are cooked on-site.  Residents' food preferences, dislikes and dietary requirements are identified at admission and accommodated.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Enabler use is voluntary.  All necessary documentation has been completed in relation to the enablers and restraint.  Minimisation of restraint and enabler use are linked to the quality and risk management programme.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procedures are being implemented, and residents and their family/whānau are provided with information on admission.  The manager maintains a record of all complaints, both verbal and written, using a complaint register.  Eight complaints for 2017 were reviewed.  Documentation including follow-up letters and resolution were complete.  Discussions with residents and relatives confirmed that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Six residents (two rest home and four hospital) and three families (hospital level care) interviewed, were aware of the complaints process and to whom they should direct complaints.  There is evidence of lodged complaints being discussed in staff and quality meetings.  Nine staff (five healthcare assistants, one cook, one activities coordinator, two registered nurses) were interviewed and they were able to describe the process around reporting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resident-related incident forms were reviewed for July – August 2017.  All incident forms documented that family had been informed.  Relatives (three hospital level care)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occur where a variety of resident issues are discussed and resolution is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Residents and family are informed prior to entry of the scope of services and any items they have to pay for that are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and the manager stated that interpreter services can be accessed if required.  There are no residents who currently require an interpreter.  Families are encouraged to visit.  Staff interviewed stated that they all try to learn a few words in another language so they can welcome residents in their first language.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Christopher’s Hospital and Rest Home is owned and operated by CHT.  The service provides rest home and hospital level care for up to 46 residents.  All beds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six rest home and 40 hospital level residents.  One resident was under interim care and one resident was under the long-term chronic health conditions contract (both hospital level care).  All other residents were under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over nine years aged care experience and she has been in her current position since the previous audit.  The clinical coordinator has many years of acute care experience and has been in aged care for two years.  She has been in her current role since January 2017 and previously was working at another CHT facility. The manager reports to the CHT area manager weekly on a variety of operational issues and participates in the monthly managers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CHT has an overall business/strategic plan, philosophy of care and mission statement.  St Christopher’s has an annual facility-specific business plan, which links to the </w:t>
            </w:r>
          </w:p>
          <w:p w:rsidR="00EB7645" w:rsidRPr="00BE00C7" w:rsidP="00BE00C7">
            <w:pPr>
              <w:pStyle w:val="OutcomeDescription"/>
              <w:spacing w:before="120" w:after="120"/>
              <w:rPr>
                <w:rFonts w:cs="Arial"/>
                <w:b w:val="0"/>
                <w:lang w:eastAsia="en-NZ"/>
              </w:rPr>
            </w:pPr>
            <w:r w:rsidRPr="00BE00C7">
              <w:rPr>
                <w:rFonts w:cs="Arial"/>
                <w:b w:val="0"/>
                <w:lang w:eastAsia="en-NZ"/>
              </w:rPr>
              <w:t>organisation’s strategic plan.  The St Christopher’s goals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clinical coordinator both have completed more than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is implemented.  Interviews with the area manager, the manager and staff, confirmed an understanding of the quality activities undertaken at CHT St Christopher’s.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on complaints, incidents/accidents, health and safety, clinical documentation, infection control and restraint use.  The internal audit schedule for 2017 to date has been completed.  Areas of non-compliance identified in audits have been actioned for improvement.  The quality data is analysed, trend identified and reported to the staff through staff meetings, memos and during handovers.  Staff/quality/health and safety and registered nurses’ meetings minutes evidenced discussions around quality data including audit results, complaints, infection control data, health and safety issues, incidents and accidents, restraint minimisation, training and other clinical data including falls, medication errors, wounds, pressure injury, skin tears and challenging behaviours.  The previous shortfall has now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regularly reviewed and align with residents’ admission documents and clinical, nursing social care requirements.  Health and safety policies and procedures were updated and include current legislative changes.  One of the registered nurses is the identified health and safety coordinator and is supported by the maintenance person and health and safety committee.  Staff and contractors are orientated to health and safety issues, and all staff and the health and safety team are responsible for identifying and reporting hazards.  Any new hazards are either eliminated or added to the regularly reviewed hazard register.  Health and safety meetings occur monthly and include discussion around health and safety data, hazards and environmental safety.  Required corrective actions and follow-up were completed and signed off.  These were evidenced in the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for individual residents such as sensor mats, low beds, landing mats and intentional rounding are implemented and were described by staff interviewed.  Hip protectors are used to prevent injuries from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accidents forms are completed by all staff, and required follow-up is initially completed by the registered nurse on duty. The manager and clinical coordinator investigate incident and accidents to identify a quality improvement opportunity.  Incident/accident data is linked to the quality and risk management programme and outcomes are communicated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ten incident and accident forms for the July – August 2017 period were reviewed.  All incident forms had reflected a clinical assessment and follow-up by a registered nurse immediately after the incident.  These include two wound dressings, three falls assessments and falls checklists and three neuro observation recordings.  The other two incidents were near miss reporting so no immediate follow-up was required.  All incident and accident forms were signed off by the clinical manager or the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plan evaluations include falls, behaviour and wound data from incident and accidents.  New interventions were included in the residents’ long-term care plans or short-term care plans following incident and accidents if risks were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the clinical coordinator are aware of their requirement to notify relevant authorities in relation to essential notifications.  Since the last audit, there have been no uncontrollable events to reported HealthCERT, the coroner, police or the DHB.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recruitment, selection, orientation and staff training and development.  Six staff files – two registered nurses, one clinical coordinator, one activities coordinator and two healthcare assistants were reviewed.  All files reviewed evidenced implementation of the recruitment process, employment contracts, completed orientation, and annual performance appraisals.  Copies of practising certificates are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Newly appointed staff complete an orientation that was sighted in all files reviewed.  Interviews with healthcare assistants described the orientation programme that includes a period of supervision.  There is an implemented annual training plan, and staff training attendance records were maintained.  Interview with healthcare assistants confirmed that there is access to sufficient training.  Medication competencies are completed for all staff who administer medication.  Resident and family interviews confirmed that staff are knowledgeable and skilled to undertake their roles.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are supported to maintain their professional competency and they can access external training.  CHT employs an interRAI trainer for the organisation. Currently CHT is working towards interRAI and their electronic patient management system inter-operability training for all their facilities.  This training was provided by the interRAI educator to registered nurses at St Christopher’s in March 2017.   Five of the eight registered nurses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CHT staffing policy includes staff rationale and skill mix.  At least one registered nurse is on-site at any one time.  Activities staff works five hours a day and seven days a week.  Cleaning, laundry and food services are outsourced.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40 hospital level care residents and six rest home care residents.  Healthcare assistants roster is as follows.   In the morning, six staff work 7am - 3pm and one staff works 7am -12noon.  In the afternoon shift, there are three staff 3pm - 11pm, one staff 4pm - 9pm and one staff 3pm - 9pm.  At night two staff 11pm -7am.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works from 6.45am - 3.15pm.  Registered nurses also work 15 minutes either end of the shift to allow handovers.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stated that staff are busy at certain times of the day but resident needs are met.  Staff interviewed stated that they are busy but they get through their daily workload.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were no standing orders.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 robotic pack system.  Medications are checked on arrival and any pharmacy errors are recorded and fed back to the supplying pharmacy.  Registered nurses and senior healthcare assistants administer medications in the hospital and rest home.  Staff attend annual education and have annual medication competency checks.  Four registered nurses have syringe driver training completed by the hospice.  The medication fridge temperature is checked weekly.  Eye drops are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on the electronic system used.  Twelve medication charts were reviewed (ten hospital and two rest home) and demonstrated that all medications, including ‘as required’ medications are bang signed for when they are administered.  This is an improvement since the previous audit.  Medications are reviewed at least three-monthly by the GP.  There was photo identification and allergy status recorded.  ‘As required’ medications had indications for use charted. This is an improvement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 Christopher’s rest home and hospital do not store vaccines on-site.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contract with Compass. There are two cooks and two kitchen hands.  Both cooks and one kitchenhand have current food safety certificates.  The other kitchen hand who is new is currently completing their certificate.  The head cook oversees the procurement of the food and management of the kitchen. There is a well-equipped kitchen and all meals are cooked on-site.  Meals are transported in warming drawers and served in the dining rooms.  Special equipment such as lipped plates are available.  On the day of audit meals were observed to be hot and well presented.  There is a kitchen manual and a range of policies and procedures to safely manage the kitchen and meal services.  Audits and food satisfaction surveys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on a kitchen whiteboard.  The four-weekly menu cycle is approved by the Compass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proactive regarding weight loss management.  They use Health Care Trust’s replenish, energy and protein (REAP) protocol.  Two hospital residents’ files sampled were on the REAP regime (level one and level three).  The facility continued to implement the REAP regime and this continues to exceed the required standard.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resident/families interviewed were satisfied with the meals, although some noted they would like more ethnic food. The facility is currently investigating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 that they notify family members about any changes in their relative’s health status.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that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occurs as planned.  There are currently four minor wounds and six pressure injuries being treated.  All wounds and pressure injuries have photos attached.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proactive regarding weight loss management.  Monitoring forms are in use as applicable such as positional turning,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previous audit there was a corrective action required around turning charts not being signed at night.  Two turning charts reviewed showed that record of turning and re-positioning of residents were recorded each shift and this was corresponding with interventions identified in the resident’s care plan.  This shortfall has now been resolved.  </w:t>
            </w:r>
          </w:p>
          <w:p w:rsidR="00EB7645" w:rsidRPr="00BE00C7" w:rsidP="00BE00C7">
            <w:pPr>
              <w:pStyle w:val="OutcomeDescription"/>
              <w:spacing w:before="120" w:after="120"/>
              <w:rPr>
                <w:rFonts w:cs="Arial"/>
                <w:b w:val="0"/>
                <w:lang w:eastAsia="en-NZ"/>
              </w:rPr>
            </w:pPr>
            <w:r w:rsidRPr="00BE00C7">
              <w:rPr>
                <w:rFonts w:cs="Arial"/>
                <w:b w:val="0"/>
                <w:lang w:eastAsia="en-NZ"/>
              </w:rPr>
              <w:t>Care plans include resident’s choices and preferences.  Management and registered nurse interviews confirmed knowledge and understanding around advance directives.  The manager and the clinical coordinator reported that there are no residents with advance directives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activities coordinators.  One works five and a half hours daily from Monday to Friday and the other works five and a half hours daily at the weekend.  On the day of audit, the activities coordinator was on leave but came in to be interviewed.  On the afternoon of audit, the male residents were having a Fathers’ day happy hour with poker, snacks and beer.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and some residents have them in their rooms.  Residents have the choice of a variety of activities in which to participate, and every effort is made to ensure that activities are meaningful and tailored to residents’ needs.  These include exercises, brain teasers, news from the NZ Herald, music, walks outside and games.  The physiotherapist runs a more extensive exercise class on a Wednesday.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There is an Anglican church service fortnightly and a Catholic service monthly.  The Anglicans notify the facility when there are social events at the church as some more able residents like to attend.  Some residents go to church with their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regular scheduled van outing.  There are regular entertainers visiting the facility.  Special events like birthdays, Easter, Fathers’ Day, Anzac Day and the Melbourne Cup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community input from churches and the local primary school whose students visit every Friday afternoon.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comprehensive individual activity plan is based on this assessment.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five long-term care plans reviewed had been evaluated by the registered nurses six-monthly or when changes to care occurs.  Short-term care plans for short-term needs are evaluated and signed off as resolved or added to the long-term care plan as an ongoing problem.  The multidisciplinary review involves the RN, GP and resident/family if they wish to attend.  There is at least a three-monthly review by the GP for rest home and one monthly for hospital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a current building warrant of fitness which is valid until 16 March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The surveillance data is collected and analysed monthly to identify areas for improvement or corrective action requirements.  Infection control internal audits have been completed.  Infection rates have been low.  Trends are identified and quality initiatives are discussed at staff/quality and health and safety meetings.  There is a policy describing surveillance methodology for monitoring of infections.  Definitions of infections are appropriate to the complexity of service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with restraint (bed rails) and four residents with enablers.  Enabler use is voluntary.  All necessary documentation has been completed in relation to the enablers and the restraint.  Minimisation of restraint and enabler use were discussed at the staff, quality and health and safety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review of restraint and enabler use shows no injuries resulting use of these.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62"/>
        <w:gridCol w:w="1280"/>
        <w:gridCol w:w="4305"/>
        <w:gridCol w:w="669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1.3.13.2</w:t>
            </w:r>
          </w:p>
          <w:p w:rsidR="00EB7645" w:rsidRPr="00BE00C7" w:rsidP="00BE00C7">
            <w:pPr>
              <w:pStyle w:val="OutcomeDescription"/>
              <w:spacing w:before="120" w:after="120"/>
              <w:rPr>
                <w:rFonts w:cs="Arial"/>
                <w:b w:val="0"/>
                <w:lang w:eastAsia="en-NZ"/>
              </w:rPr>
            </w:pPr>
            <w:r w:rsidRPr="00BE00C7">
              <w:rPr>
                <w:rFonts w:cs="Arial"/>
                <w:b w:val="0"/>
                <w:lang w:eastAsia="en-NZ"/>
              </w:rPr>
              <w:t>Consumers who have additional or modified nutritional requirements or special diets have these needs met.</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active in ensuring the specific nutritional needs of residents are met, including the provision of special diets and altered texture meals.  The menus have been approved by a dietitian.  Weight loss is actively managed with dietitian input where required and the provision of the REAP programme.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continues to be proactive about identifying and addressing potential or actual weight loss in residents.</w:t>
            </w:r>
          </w:p>
          <w:p w:rsidR="00EB7645" w:rsidRPr="00BE00C7" w:rsidP="00BE00C7">
            <w:pPr>
              <w:pStyle w:val="OutcomeDescription"/>
              <w:spacing w:before="120" w:after="120"/>
              <w:rPr>
                <w:rFonts w:cs="Arial"/>
                <w:b w:val="0"/>
                <w:lang w:eastAsia="en-NZ"/>
              </w:rPr>
            </w:pPr>
            <w:r w:rsidRPr="00BE00C7">
              <w:rPr>
                <w:rFonts w:cs="Arial"/>
                <w:b w:val="0"/>
                <w:lang w:eastAsia="en-NZ"/>
              </w:rPr>
              <w:t>This is achieved using the ‘REAP’ (replenish, energy and protein protocol).  This involves identifying residents that are losing weight or are at risk of losing weight and having them assessed by a dietitian if appropriate.  The kitchen is then notified (confirmed by the kitchen manager interviewed) and the residents on the programme are provided with a diet of food that is fortified with extra calories and high calorie milk desserts or similar for morning and afternoon teas and supper.</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this the service provided examples from the past year of residents whose weight has stopped declining or have increased.  The two residents on the REAP programme at the time of the audit were both losing weight and are now both gaining weight.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St Christophers</w:t>
    </w:r>
    <w:bookmarkEnd w:id="58"/>
    <w:r>
      <w:rPr>
        <w:rFonts w:cs="Arial"/>
        <w:sz w:val="16"/>
        <w:szCs w:val="20"/>
      </w:rPr>
      <w:tab/>
      <w:t xml:space="preserve">Date of Audit: </w:t>
    </w:r>
    <w:bookmarkStart w:id="59" w:name="AuditStartDate1"/>
    <w:r>
      <w:rPr>
        <w:rFonts w:cs="Arial"/>
        <w:sz w:val="16"/>
        <w:szCs w:val="20"/>
      </w:rPr>
      <w:t>31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