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Carter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Carter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September 2017</w:t>
      </w:r>
      <w:bookmarkEnd w:id="7"/>
      <w:r w:rsidRPr="009418D4">
        <w:rPr>
          <w:rFonts w:cs="Arial"/>
        </w:rPr>
        <w:tab/>
        <w:t xml:space="preserve">End date: </w:t>
      </w:r>
      <w:bookmarkStart w:id="8" w:name="AuditEndDate"/>
      <w:r w:rsidR="00A4268A">
        <w:rPr>
          <w:rFonts w:cs="Arial"/>
        </w:rPr>
        <w:t>6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Carter House provides rest home, hospital and dementia care for up to 65 residents. The service is operated by Heritage Lifecare Limited (HLL) and is managed by a facility manager and a clinical services manager. During this audit,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(DHB). The audit process included review of policies and procedures, review of residents’ and staff files, observations and interviews with residents, family members, management, staff, contracted allied health providers, and a general practitioner.  </w:t>
      </w:r>
    </w:p>
    <w:p w:rsidRPr="00A4268A">
      <w:pPr>
        <w:spacing w:before="240" w:line="276" w:lineRule="auto"/>
        <w:rPr>
          <w:rFonts w:eastAsia="Calibri"/>
        </w:rPr>
      </w:pPr>
      <w:r w:rsidRPr="00A4268A">
        <w:rPr>
          <w:rFonts w:eastAsia="Calibri"/>
        </w:rPr>
        <w:t>No areas requiring improvement have been identified from this audit.  Since the previous audit, improvements have been made to ensure that residents’ progress notes are updated by registered nurses in each 24-hour period, that service delivery plans fully describe all required supports, and that the physical environment minimises the risk of harm and promotes independence.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residents’ files indicated that it is practised when required. Family members interviewed confirmed this. There is access to interpreting services if required.   </w:t>
      </w:r>
    </w:p>
    <w:p w:rsidRPr="00A4268A">
      <w:pPr>
        <w:spacing w:before="240" w:line="276" w:lineRule="auto"/>
        <w:rPr>
          <w:rFonts w:eastAsia="Calibri"/>
        </w:rPr>
      </w:pPr>
      <w:r w:rsidRPr="00A4268A">
        <w:rPr>
          <w:rFonts w:eastAsia="Calibri"/>
        </w:rPr>
        <w:t>A complaints register is maintained and complaints, when lodged,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The role of facility manager is currently vacant with a temporary manager in place. The clinical manager and an HLL regional operations manager are also undertaking some of the responsibilities for service management until a new person is appointed to this role.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in this process through regular meetings. Adverse events are documented with corrective actions implemented. Actual and potential risks, including health and safety risks, are identified and mitigated.  Policies and procedures support service delivery,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Five residents were using enablers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1"/>
        <w:gridCol w:w="1280"/>
        <w:gridCol w:w="104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year and that actions taken are documented and completed within the required timeframes.  Three of the five complaints have been managed through to an agreed resolution. The two other complaints are in the early stages of the investigation and communication with the complainants has been timely and appropriate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Action plans showed any required follow-up and improvements have been made where possible.  The facility manager is responsible for complaints management and follow up. Currently this function is being undertaking by the operations manager and the clinical services manager, each of whom is managing one of the two new complaints seen in the register. All staff interviewed confirmed a sound understanding of the complaint process and what actions are required. Since HLL has owned the facility all requirements of the standard and the providers contracts have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recent visit, the quality and compliance manager identified that there was a complaint which had been made to the Health and Disability Commission (HDC) in 2016 when the facility was under the previous owner. This complaint had not been recorded in the complaint register and no ongoing documentation was maintained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Contact was made with the previous owner when the HDC complaint was identified as no documentation relating to the issue, investigation of the incident or  follow-up could be found on site.  The previous owner declined to provide any detailed information other than to say they would share the results of the HDC investigation if and when it was issued. The quality and compliance manager has established that the complaint is also being considered by the local coroner as a death is involved. The coroner has advised that they are waiting for the outcome of the HDC complaint before finalising their decision.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or 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they reported this was rarely required. All current residents speak English and do not require assistance to communicate verbally.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reports to the senior manager showed adequate information to monitor performance is reported including occupancy, financial performance, emerging risks and issues, quality (clinical)  indicators (see standard 1.2.3 Quality and Risk Management), results of internal audits and variations to expected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although the role is currently vacant. There is a clinical services manager who has been at Carter House for two months. She has previously been in the same position at another aged care facility for five years and has completed that organisation’s management training. She is being supported by a temporary manager and the HLL operations manager for the area. The temporary manager is a person has worked in the sector in a range of facility management roles since 2003. She is a registered nurse and has a current annual practising certificate. In previous roles, she has completed generic management training and training specific to the aged care sector. She has been engaged by HLL as a temporary manager for the past two years and fills in as required when there is a vacancy.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are defined in a job description and individual employment agreement.  The clinical services manager confirmed knowledge of the sector, regulatory and reporting requirements and maintains currency through attending internal clinical and management training, relevant external training and any other appropriate training considered suitable for her in her new position at Carter House.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their District Health Board (DHB) for Aged related Residential Care, Age Related Hospital Care, Day programmes, respite care and palliative care. With the Accident Compensation Corporation and the Ministry of Health (MOH) for people who are under 65.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57 residents were receiving services. 19 residents were receiving rest home care, 14 dementia care and 24 hospital care.  All 33 residents receiving rest home and dementia care were under the Age Related Residential Care Contract. Of the 24 residents receiving hospital level care, all were under the Age Related Hospital Services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internal audit activities, regular resident meetings, monitoring of clinical indicators, incidents including accidents, infections, pressure injuries, falls (with and without injury) staff incidents and health and safety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There is monthly reporting to Heritage Lifecare Limited (HLL) support office. From these monthly reports graphed summaries of the facility’s data against each of the clinical indicators is returned to them.  These reports are discussed at the monthly quality and risk/infection prevention and control/health and safety meetings (Q&amp;R/IPC/H&amp;S), at the registered nurse (RN) meetings, and at the staff meetings. Staff reported their involvement in these different meetings, but the graphed data has not been routinely shared with staff during the meetings. (See note in paragraph below.) Regular internal audit activities occur each month against a calendar of audits. The results are discussed at the Q&amp;R/IPC/H&amp;S meetings. Relevant corrective actions are also discussed and were noted in meeting minutes. Meetings with residents are held regularly and they are able to raise and discuss any concerns or issues they have during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facility wide internal audit was conducted by the quality and compliance manager and her quality and compliance coordinator. This identified some areas requiring improvement including the sharing of the graphed data with all staff and documentation and monitoring of corrective action plans. The organisation’s system of monitoring corrective actions which result from an internal audits require formal reporting through the facility’s operations manager and involvement of the quality and compliance manager if needed. The clinical services manager was aware of the areas identified and described the actions being taken to address them.  The most recent Q&amp;R/IPC/H&amp;S meeting minutes record discussion of this internal audit and the actions to be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assessments and other contracts held by this facility.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compliance manager described the processes for the identification, monitoring, review and reporting of risks and development of mitigation strategies. The organisation has policies and procedures which provide guidance on the Health and Safety at Work Act (2015) and has implemented its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support office each monthly. A selection of these reports was sighted for 2017, both for the time HLL took over the ownership of the facility and prior to this.  Staff interviewed understood their responsibilities for reporting and recording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compliance manager described essential notification reporting requirements, including for pressure injuries.  Examples of notifications of significant events made to the Ministry of Health, since the previous audit were reviewed. As noted in standard  1.1.13. all documentation related to this HDC complaint was removed from the facility prior to the transfer of ownership. There is no evidence available to confirm whether appropriate notification was made at the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New staff members reported, and files reviewed confirmed, that orientations have been completed as required. Staff confirmed that their orientation prepared them for their role.  Staff records reviewed showed documentation of completed orientation and a performance review after three-months and then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at the facility annually with mandatory training requirements being covered in addition to any site specific needs. The facility’s quality coordinator, who is responsible for planning and coordinating the education programme, was on leave during the audit and could not be interviewed. Care staff have either completed or commenced a New Zealand Qualification Authority education programme to meet the requirements of the provider’s agreement with the DHB.  Staff working in the dementia care area have either completed or are enrolled in the required education. There are sufficient trained and competent registered nurses who are maintaining their annual competency requirements to undertake interRAI assessments (five, with one more scheduled to attend training later in September 2017). </w:t>
            </w:r>
          </w:p>
          <w:p w:rsidR="00EB7645" w:rsidRPr="00BE00C7" w:rsidP="00BE00C7">
            <w:pPr>
              <w:pStyle w:val="OutcomeDescription"/>
              <w:spacing w:before="120" w:after="120"/>
              <w:rPr>
                <w:rFonts w:cs="Arial"/>
                <w:b w:val="0"/>
                <w:lang w:eastAsia="en-NZ"/>
              </w:rPr>
            </w:pPr>
            <w:r w:rsidRPr="00BE00C7">
              <w:rPr>
                <w:rFonts w:cs="Arial"/>
                <w:b w:val="0"/>
                <w:lang w:eastAsia="en-NZ"/>
              </w:rPr>
              <w:t>Documentation and records reviewed showed that the previously comprehensive annual training plan, has not been as consistently implemented to date in 2017 by the facility-based staff. Key competencies (medication, restraint, hand hygiene) have been addressed for the majority of staff. As noted previously, an internal audit completed in June 2017 identified that staff training is not occurring as completely as the organisation requires. A corrective action plan has been written to address this finding and has been implemented. Evidence of the corrective action was sighted during the audit. The CSM was interviewed and described the process being followed to implement and monitor the corrective action plan in relation to the education programme. This includes the scheduling of additional internal training, further development of the education programme and ongoing work to ensure that personnel files and training records are up to date.  Records reviewed demonstrated completion of scheduled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using the Indicators for Safe aged care and dementia care for consumers handbook.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roster is in place, with staff reporting that good access to advice is available when needed.  When interviewed, the general practitioner for the facility reported that he is only contacted after hours when necessary and all other appropriate action have been taken by the rostered and on-call staff.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adequate staff available to complete the work allocated to them.  Residents and family interviewed supported this. Observations and review of a fortnights roster confirmed adequate staff cover has been provided, with staff replaced in any unplanned absence.  At least one staff member on duty has a current first aid certificate and there is 24 hour/seven days a week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kitchen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previous audit identified an area for improvement to ensure that lifestyle care plans describe fully all required support needed, as identified in the assessment process.  The corrective action is now addressed, with records available to demonstrate that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appropriate.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activities co-ordinators who are currently training as diversional therapists.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three-monthly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day to day discussions and residents’ meetings.   Residents interviewed confirmed they find the programme interactive</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and supported by an activity co-ordinator who supports the dementia unit, providing weekend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21 November 2016 and it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There are internal audits which monitor the environment, equipment and fire and evacuation systems. </w:t>
            </w:r>
          </w:p>
          <w:p w:rsidR="00EB7645" w:rsidRPr="00BE00C7" w:rsidP="00BE00C7">
            <w:pPr>
              <w:pStyle w:val="OutcomeDescription"/>
              <w:spacing w:before="120" w:after="120"/>
              <w:rPr>
                <w:rFonts w:cs="Arial"/>
                <w:b w:val="0"/>
                <w:lang w:eastAsia="en-NZ"/>
              </w:rPr>
            </w:pPr>
            <w:r w:rsidRPr="00BE00C7">
              <w:rPr>
                <w:rFonts w:cs="Arial"/>
                <w:b w:val="0"/>
                <w:lang w:eastAsia="en-NZ"/>
              </w:rPr>
              <w:t>The environment was hazard free on the day of the audit. The facility is built on one level and flooring is either carpeted or has non-slip linoleum in bathrooms. There are handrails in all corridors. Residents were observed to move freely around the facility either independently or using mobility equipement. Residents reported that they are safe and that their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area for improvement identified at the provisional audit conducted in September 2016 has been addressed. In the dementia wing the dining room furniture has been reconfigured and on the day of the audit residents were observed moving around the room and negotiating the furniture with ease. The whole area was clean, in particular the radiators which were also clear of any objects on or against them. The torn and dirty curtain in the kitchette has been removed. </w:t>
              <w:br/>
              <w:t xml:space="preserve">A random sample of residents bedrooms were visited. Tap heads have been replaced and wardrobes have handles and are unlocked. In a review of the incident register there were no incidents noted relating to these changes.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were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manager.  Data is benchmarked externally to Hodgson House with facilities across the HLL group. This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an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five residents were using enablers, which were the least restrictive and used voluntarily at their request. A similar process is followed for the use of enablers as is used for restraints. All required documents were on the files for a sample group of the residents using enablers. The register was current and accurately reflected the use of enablers in the facility.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Carter House</w:t>
    </w:r>
    <w:bookmarkEnd w:id="58"/>
    <w:r>
      <w:rPr>
        <w:rFonts w:cs="Arial"/>
        <w:sz w:val="16"/>
        <w:szCs w:val="20"/>
      </w:rPr>
      <w:tab/>
      <w:t xml:space="preserve">Date of Audit: </w:t>
    </w:r>
    <w:bookmarkStart w:id="59" w:name="AuditStartDate1"/>
    <w:r>
      <w:rPr>
        <w:rFonts w:cs="Arial"/>
        <w:sz w:val="16"/>
        <w:szCs w:val="20"/>
      </w:rPr>
      <w:t>6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