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Coast to Coast Hauora Trust - Heritage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Coast to Coast Hauora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Heritage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31 October 2017</w:t>
      </w:r>
      <w:bookmarkEnd w:id="7"/>
      <w:r w:rsidRPr="009418D4">
        <w:rPr>
          <w:rFonts w:cs="Arial"/>
        </w:rPr>
        <w:tab/>
        <w:t xml:space="preserve">End date: </w:t>
      </w:r>
      <w:bookmarkStart w:id="8" w:name="AuditEndDate"/>
      <w:r w:rsidR="00A4268A">
        <w:rPr>
          <w:rFonts w:cs="Arial"/>
        </w:rPr>
        <w:t>31 October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Heritage Rest Home provides rest home level care for up to 17 residents. The service is operated by a board of trustees and managed by a chief executive office and a clinical nurse manager. Residents spoke positively about the care provided.</w:t>
      </w:r>
    </w:p>
    <w:p w:rsidRPr="00A4268A">
      <w:pPr>
        <w:spacing w:before="240" w:line="276" w:lineRule="auto"/>
        <w:rPr>
          <w:rFonts w:eastAsia="Calibri"/>
        </w:rPr>
      </w:pPr>
      <w:r w:rsidRPr="00A4268A">
        <w:rPr>
          <w:rFonts w:eastAsia="Calibri"/>
        </w:rPr>
        <w:t xml:space="preserve">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management, staff and two general practitioners. </w:t>
      </w:r>
    </w:p>
    <w:p w:rsidRPr="00A4268A">
      <w:pPr>
        <w:spacing w:before="240" w:line="276" w:lineRule="auto"/>
        <w:rPr>
          <w:rFonts w:eastAsia="Calibri"/>
        </w:rPr>
      </w:pPr>
      <w:r w:rsidRPr="00A4268A">
        <w:rPr>
          <w:rFonts w:eastAsia="Calibri"/>
        </w:rPr>
        <w:t xml:space="preserve">There were no areas requiring improvement that needed to be followed up from the previous certification audit. This audit has identified no areas that required improvements to be addressed in the criteria audited.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 is promoted and was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An experienced and suitably qualified person manages the facility with the board of directors (the board) having governance oversight.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sampled demonstrated that the care provided and needs of residents are reviewed and evaluated on a regular and timely basis.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 There are renovations planned for the kitchen.</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A current building warrant of fitness is publicly displayed.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No enablers were in use at the time of audit. One restraint was in use.  Policy states the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02"/>
        <w:gridCol w:w="1280"/>
        <w:gridCol w:w="1035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and associated forms meet the requirements of Right 10 of the Code.  Information on the complaint process is provided to residents and families on admission and residents interviewed knew the process to follow. No negative comments were received from residents on the day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three complaints have been received over the past year and that actions taken, through to an agreed resolution, are documented and completed within the timeframes.  Action plans showed any required follow up and improvements have been made where possible.  One example sighted showed the follow up to a complaint involved staff training being put in place related to continence and catheter care and managing challenging behaviour. This was presented by the gerontology nurse specialist. More frequent GP visits were organised and changes were made to the daily handover between shifts. This now includes discussion between staff to clearly identify any resident non-compliance issues. </w:t>
            </w:r>
          </w:p>
          <w:p w:rsidR="00EB7645" w:rsidRPr="00BE00C7" w:rsidP="00BE00C7">
            <w:pPr>
              <w:pStyle w:val="OutcomeDescription"/>
              <w:spacing w:before="120" w:after="120"/>
              <w:rPr>
                <w:rFonts w:cs="Arial"/>
                <w:b w:val="0"/>
                <w:lang w:eastAsia="en-NZ"/>
              </w:rPr>
            </w:pPr>
            <w:r w:rsidRPr="00BE00C7">
              <w:rPr>
                <w:rFonts w:cs="Arial"/>
                <w:b w:val="0"/>
                <w:lang w:eastAsia="en-NZ"/>
              </w:rPr>
              <w:t>The clinical nurse manager liaises with the chief executive officer (CEO) for all complaints and is responsible for complaints management and follow up. All staff interviewed confirmed a sound understanding of the complaint process and what actions are required. At the time of audit there are no open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stated they were kept well informed about any changes to their health status and that family were informed in a timely manner about any incidents or accidents and outcomes of regular and any urgent medical reviews. This was supported in residents’ records reviewed on the communication sheets located in their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Management know how to access interpreter services, although they reported this was rarely required due to all residents being able to speak English. Staff confirmed that communication with residents has not been an issue to date.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plan and quality plan, which are reviewed annually at board level, outline the purpose, values, scope, mission statement, direction and goals of the organisation. The documents describe annual and longer term objectives and the associated operational plans. A sample of monthly reports to the board of directors from the chief executive officer (CEO) showed adequate information to monitor performance is reported including risk management, incidents and accident, health and safety, quality data as appropriate, cleaning, complaints, falls rates, staffing, behavioural issues, and resident satisfaction results. Two members of the board were interviewed and confirmed they are regular visitors to the facility and are fully aware of any issues that arise.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reports to the CEO monthly on maintenance, audit updates and outcomes, resident feedback from resident meetings, complaints, suppliers, clinical issues, staff meeting issues, staff competencies, new planned developments, quality data and corrective actions. </w:t>
            </w:r>
          </w:p>
          <w:p w:rsidR="00EB7645" w:rsidRPr="00BE00C7" w:rsidP="00BE00C7">
            <w:pPr>
              <w:pStyle w:val="OutcomeDescription"/>
              <w:spacing w:before="120" w:after="120"/>
              <w:rPr>
                <w:rFonts w:cs="Arial"/>
                <w:b w:val="0"/>
                <w:lang w:eastAsia="en-NZ"/>
              </w:rPr>
            </w:pPr>
            <w:r w:rsidRPr="00BE00C7">
              <w:rPr>
                <w:rFonts w:cs="Arial"/>
                <w:b w:val="0"/>
                <w:lang w:eastAsia="en-NZ"/>
              </w:rPr>
              <w:t>Whilst the board of seven trustees oversee all governance issues, the CEO, who has been in the role for over 10 years, oversees all service provision of the facility. The clinical nurse manager (registered nurse) oversees the day to day clinical care services and has been in the role for six years. The clinical nurse manager holds relevant qualifications and actively undertakes ongoing education related to the role covering both clinical and management training. Responsibilities and accountabilities are defined in a job description and individual employment agreement.  The clinical nurse manager and CEO confirmed their knowledge of the sector, regulatory and reporting requirements. Evidence of an infectious outbreak reporting was sighted.</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a contract with Waitemata District Health Board (WDHB) for rest home level care and the Accident Compensation Corporation (ACC). Nine residents were receiving services under the Age Related Residential contract with the WDHB and one resident receives services under the Residential Support Client Specific contract with ACC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This includes management of incidents and complaints, audit activities, a regular patient satisfaction survey, monitoring of outcomes, clinical incidents including infections and wound care. All quality data is trended against previously collected data. The internal auditing system is used to measure achievement against quality and risk management plans, and the board are made aware of outcomes.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quality meetings, staff meetings and with the board as required. Staff reported their involvement in quality and risk management activities through audit activities and the implementation of corrective actions. Relevant corrective actions are developed and implemented to address any shortfalls. For example, following the June 2017 internal audit of medications an additional teaching session was put in place related to the signing of pro re nata (PRN) medication. This was re-audited in July with a 100% rating gained. </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satisfaction surveys are completed annually. The most recent survey showed that 2017 results reflected the most positive response in the last five years. One improvement has been made following a remark made on the satisfaction survey about communal toilet areas. Hourly checks are now being undertaken of toilet areas to ensure they are always clean. Resident interviews confirmed that they are happy to take part in the annual survey and that any issues raised, including at the resident meetings, are always dealt with promptly.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process for policy review and development involves the clinical nurse manager, the CEO and board. The document control system ensures a systematic and regular review process, referencing of relevant sources, approval, distribution and removal of obsolete documents. All staff have computer access to the current policies which are kept in a shared folder.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members of the board, the CEO and the clinical nurse manager described the processes for the identification, monitoring, review and reporting of risks and development of mitigation strategies. All members of management are familiar with the Health and Safety at Work Act (2015) and the organisation has implemented requirements. These are reflected in the health and safety documents sighted.  A health and safety audit is us undertaken every three months which includes monitoring the effectiveness of the mitigation strategies shown in the hazard register.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showed these were fully completed, incidents were investigated, action plans developed and actions followed-up in a timely manner. For example, one resident who has a high risk of falls has a shoulder alarm monitor in place. Adverse event data is collated, analysed and reported to the CEO and the board. Information is shared at monthly staff meetings.</w:t>
            </w:r>
          </w:p>
          <w:p w:rsidR="00EB7645" w:rsidRPr="00BE00C7" w:rsidP="00BE00C7">
            <w:pPr>
              <w:pStyle w:val="OutcomeDescription"/>
              <w:spacing w:before="120" w:after="120"/>
              <w:rPr>
                <w:rFonts w:cs="Arial"/>
                <w:b w:val="0"/>
                <w:lang w:eastAsia="en-NZ"/>
              </w:rPr>
            </w:pPr>
            <w:r w:rsidRPr="00BE00C7">
              <w:rPr>
                <w:rFonts w:cs="Arial"/>
                <w:b w:val="0"/>
                <w:lang w:eastAsia="en-NZ"/>
              </w:rPr>
              <w:t>The clinical nurse manager described essential notification reporting requirements, including for pressure injuries. They advised there has been one notification to public health related to a norovirus outbreak in April 2016. There have been no police investigations, coroner’s inquests, or issues based audits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them well for their role.  Staff records reviewed show documentation of completed orientation and a performance review after a three-month period.  Annual staff appraisals are up to date.</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Staff education is undertaken on-site and off-site with input from the WDHB gerontology nurse specialist at least three monthly. Four caregivers are registered to undertake ongoing approved gerontology education via the New Zealand Tertiary Collage as confirmed in documentation sighted and during staff interviews.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is a trained and competent registered nurse who maintains their annual competency requirements to undertake interRAI assessments. Records reviewed demonstrated completion of the required training and completion of annual performance appraisals. They also attend New Zealand Nurses’ Organisation gerontology group educational days.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Care staff undertake laundry and cleaning duties as part of their daily tasks. Residents interviewed supported this. Observations and review of four weeks rosters confirmed adequate staff cover has been provided, with staff replaced in any unplanned absence.  InterRAI identifies all residents are rest home level care and staffing numbers are appropriate. At least one staff member on duty has a current first aid certificate. There are dedicated activities coordinator hours five hours a week, and kitchen staff seven days a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works 21 hours per week over three days (Monday, Tuesday and Friday).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is current and identifies all aspects of medicine management in line with the Medicines Care Guide for Residential Aged Care. The standing orders comply with legislation.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on request, with all residents having a pharmacological review in 2017.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fridge that contains the medicines are within the recommended range. There are no vaccinations or other medications that require a cold chain process to be implemented. No medications currently require refrigeration.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 the prescriber’s signature and date recorded on the commencement and discontinuation of medicines and all requirements for pro re nata (PRN) medicines are met. The required three-monthly GP review is consistently recorded on the medicine chart.  Standing orders are used, were current and comply with guidelines.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no residents who self-administer medications at the time of audit. Appropriate processes are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process for analysis of any medication errors, with these forming part of the key performance indicators and quality reporting processes.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the kitchen team. The menu has been reviewed and audited in 2017 by a dietitian which is in line with recognised nutritional guidelines for older people. The menu follows summer and winter patterns on a four-week rotational menu.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is showing signs of wear and tear, with the service implementing a plan to refurbish the kitchen. The re-development is planned as soon as the trades people are available.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does not yet have an approved food safety plan, with the development of this schedule for after the kitchen redevelopment. Food and storage temperatures are monitored weekly. The kitchen staff have undertaken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is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interviews, satisfaction surveys and resident meeting minutes. Residents were seen to be given sufficient time to eat their meal in an unhurried fashion and those requiring assistance had this provided. The resident expressed high praise for the food services with comments such as the food is ‘like a five-star restaurant’.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All resident interviewed had high praise for the quality of care and service delivery at Heritage Rest Home.</w:t>
            </w:r>
          </w:p>
          <w:p w:rsidR="00EB7645" w:rsidRPr="00BE00C7" w:rsidP="00BE00C7">
            <w:pPr>
              <w:pStyle w:val="OutcomeDescription"/>
              <w:spacing w:before="120" w:after="120"/>
              <w:rPr>
                <w:rFonts w:cs="Arial"/>
                <w:b w:val="0"/>
                <w:lang w:eastAsia="en-NZ"/>
              </w:rPr>
            </w:pPr>
            <w:r w:rsidRPr="00BE00C7">
              <w:rPr>
                <w:rFonts w:cs="Arial"/>
                <w:b w:val="0"/>
                <w:lang w:eastAsia="en-NZ"/>
              </w:rPr>
              <w:t>The attention to meeting a diverse range of resident’s individualised needs was evident in all areas of service provision. The GPs interviewed verified that medical input is sought in a timely manner, that medical orders are followed, and that the residents are receiving appropriate care. Caregivers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an activities coordinator or caregivers that are specifically rostered for assisting with the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 residents’ goals, ordinary patterns of life and include normal community activities. Individual and group activities and regular events are offered. Residents and families/whānau are involved in evaluating and improving the programme through residents’ meetings and satisfaction surveys. Residents interviewed confirmed they find the programme interesting.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on the 24-hour record of care and reported in the progress notes when there are significant changes. If any change is noted, it is reported to the RN. The RN makes entries in the progress notes at least weekly.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and use of short term care plans. Examples of short term care plans being consistently reviewed and progress evaluated as clinically indicated were noted for wounds management and falls minimisation. When necessary, and for unresolved problems, long term care plans are added to and updated. Residents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(expiry date 30 June 2018) is publicly displayed.  There have been no changes to the facility footprint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and scabies. The RN is the infection prevention coordinator and reviews all reported infections. New infections and any required management plans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years and this is reported to the trust through monthly management reports.  </w:t>
            </w:r>
          </w:p>
          <w:p w:rsidR="00EB7645" w:rsidRPr="00BE00C7" w:rsidP="00BE00C7">
            <w:pPr>
              <w:pStyle w:val="OutcomeDescription"/>
              <w:spacing w:before="120" w:after="120"/>
              <w:rPr>
                <w:rFonts w:cs="Arial"/>
                <w:b w:val="0"/>
                <w:lang w:eastAsia="en-NZ"/>
              </w:rPr>
            </w:pPr>
            <w:r w:rsidRPr="00BE00C7">
              <w:rPr>
                <w:rFonts w:cs="Arial"/>
                <w:b w:val="0"/>
                <w:lang w:eastAsia="en-NZ"/>
              </w:rPr>
              <w:t>A summary report for a recent gastrointestinal infection outbreak in April/May 2016 was reviewed and demonstrated a thorough process for investigation and follow up.  Learnings from the event have now been incorporated into practice, with additional staff education implemented regarding the cleaning of commode chairs.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the clinical nurse manager, provides support and oversight for enabler and restraint management in the facility and demonstrated a sound understanding of the organisation’s policies, procedures and practice and their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one resident was using a bedside rail restraint. No residents were using enablers.  Policy identifies that enablers were the least restrictive and used voluntarily at their request. A similar process is followed for the use of enablers as is used for restraints.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Coast to Coast Hauora Trust - Heritage Rest Home</w:t>
    </w:r>
    <w:bookmarkEnd w:id="58"/>
    <w:r>
      <w:rPr>
        <w:rFonts w:cs="Arial"/>
        <w:sz w:val="16"/>
        <w:szCs w:val="20"/>
      </w:rPr>
      <w:tab/>
      <w:t xml:space="preserve">Date of Audit: </w:t>
    </w:r>
    <w:bookmarkStart w:id="59" w:name="AuditStartDate1"/>
    <w:r>
      <w:rPr>
        <w:rFonts w:cs="Arial"/>
        <w:sz w:val="16"/>
        <w:szCs w:val="20"/>
      </w:rPr>
      <w:t>31 October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