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Colwyn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Colwyn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11 September 2017</w:t>
      </w:r>
      <w:bookmarkEnd w:id="7"/>
      <w:r w:rsidRPr="009418D4">
        <w:rPr>
          <w:rFonts w:cs="Arial"/>
        </w:rPr>
        <w:tab/>
        <w:t xml:space="preserve">End date: </w:t>
      </w:r>
      <w:bookmarkStart w:id="8" w:name="AuditEndDate"/>
      <w:r w:rsidR="00A4268A">
        <w:rPr>
          <w:rFonts w:cs="Arial"/>
        </w:rPr>
        <w:t>11 September 2017</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Colwyn House provides psychogeriatric and dementia/medical care for up to 69 residents. The service is operated by Heritage Lifecare Limited and managed by a facility manager. A clinical manager and quality manager provide additional support to the facility manager.</w:t>
      </w:r>
    </w:p>
    <w:p w:rsidRPr="00A4268A">
      <w:pPr>
        <w:spacing w:before="240" w:line="276" w:lineRule="auto"/>
        <w:rPr>
          <w:rFonts w:eastAsia="Calibri"/>
        </w:rPr>
      </w:pPr>
      <w:r w:rsidRPr="00A4268A">
        <w:rPr>
          <w:rFonts w:eastAsia="Calibri"/>
        </w:rPr>
        <w:t>The audit was conducted against the Health and Disability Services Standards and the service`s contract with the Hawke’s Bay District Health Board. The audit process included review of policies and procedures, review of residents` and staff records, observations and interviews with family members, managers, staff, a general practitioner and the quality and compliance manager for the organisation. Residents spoken to by auditors provided limited information due to the nature of the services provided.</w:t>
      </w:r>
    </w:p>
    <w:p w:rsidRPr="00A4268A">
      <w:pPr>
        <w:spacing w:before="240" w:line="276" w:lineRule="auto"/>
        <w:rPr>
          <w:rFonts w:eastAsia="Calibri"/>
        </w:rPr>
      </w:pPr>
      <w:r w:rsidRPr="00A4268A">
        <w:rPr>
          <w:rFonts w:eastAsia="Calibri"/>
        </w:rPr>
        <w:t xml:space="preserve">There are no areas requiring improvement identified in this audit. Improvement have been made in relation to resident privacy in a bathroom area and meeting the appropriate timeframes when responding to a complaint. These two areas requiring improvement from the previous audit have been fully addressed.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Open communication between staff and families is promoted and was confirmed to be effective. There is access to the DHB interpreter service and other formal interpreting services as required.</w:t>
      </w:r>
    </w:p>
    <w:p w:rsidRPr="00A4268A">
      <w:pPr>
        <w:spacing w:before="240" w:line="276" w:lineRule="auto"/>
        <w:rPr>
          <w:rFonts w:eastAsia="Calibri"/>
        </w:rPr>
      </w:pPr>
      <w:r w:rsidRPr="00A4268A">
        <w:rPr>
          <w:rFonts w:eastAsia="Calibri"/>
        </w:rPr>
        <w:t xml:space="preserve">The facility manager is responsible for the management of complaints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Heritage Lifecare Limited is the governing body and is responsible for the service provided at Colwyn House. Colwyn house has a quality improvement and business plan which includes the organisation’s vision, purpose, mission statement and core values and objectives for 2017 – 2018. The facility manager is supported by a clinical services manager and a quality coordinator.</w:t>
      </w:r>
    </w:p>
    <w:p w:rsidRPr="00A4268A">
      <w:pPr>
        <w:spacing w:before="240" w:line="276" w:lineRule="auto"/>
        <w:rPr>
          <w:rFonts w:eastAsia="Calibri"/>
        </w:rPr>
      </w:pPr>
      <w:r w:rsidRPr="00A4268A">
        <w:rPr>
          <w:rFonts w:eastAsia="Calibri"/>
        </w:rPr>
        <w:t>There is an organisation wide quality and risk plan and systems in place for monitoring all services provided, including regular weekly and monthly reporting by the facility manager to the governing body. This includes an annual audit planner of internal auditing, monitoring of complaints, incidents/accidents, health and safety, infection control and restraint minimisation and family satisfaction. Collection, collation and analysis of quality data is occurring and is reported electronically to the governing body. Any trends and follow-up is discussed at staff meetings. Meeting minutes, graphs and clinical indicators are displayed for staff.</w:t>
      </w:r>
    </w:p>
    <w:p w:rsidRPr="00A4268A">
      <w:pPr>
        <w:spacing w:before="240" w:line="276" w:lineRule="auto"/>
        <w:rPr>
          <w:rFonts w:eastAsia="Calibri"/>
        </w:rPr>
      </w:pPr>
      <w:r w:rsidRPr="00A4268A">
        <w:rPr>
          <w:rFonts w:eastAsia="Calibri"/>
        </w:rPr>
        <w:t>Adverse events are documented on incident forms. Actual and potential risks are identified or flagged alerts are generated. Feed-back is provided to staff. Hazard registers are up to date.</w:t>
      </w:r>
    </w:p>
    <w:p w:rsidRPr="00A4268A">
      <w:pPr>
        <w:spacing w:before="240" w:line="276" w:lineRule="auto"/>
        <w:rPr>
          <w:rFonts w:eastAsia="Calibri"/>
        </w:rPr>
      </w:pPr>
      <w:r w:rsidRPr="00A4268A">
        <w:rPr>
          <w:rFonts w:eastAsia="Calibri"/>
        </w:rPr>
        <w:t>Staffing levels and skill mix is in a transitional stage with senior staff on call after hours and at weekends. Contractual requirements to meet the needs of residents are met.</w:t>
      </w:r>
    </w:p>
    <w:p w:rsidRPr="00A4268A">
      <w:pPr>
        <w:spacing w:before="240" w:line="276" w:lineRule="auto"/>
        <w:rPr>
          <w:rFonts w:eastAsia="Calibri"/>
        </w:rPr>
      </w:pPr>
      <w:r w:rsidRPr="00A4268A">
        <w:rPr>
          <w:rFonts w:eastAsia="Calibri"/>
        </w:rPr>
        <w:t>Policies and procedures are being changed over systematically to Heritage Lifecare Limited policies and procedures. All policies and procedures have been reviewed in a timely manner.</w:t>
      </w:r>
    </w:p>
    <w:p w:rsidRPr="00A4268A">
      <w:pPr>
        <w:spacing w:before="240" w:line="276" w:lineRule="auto"/>
        <w:rPr>
          <w:rFonts w:eastAsia="Calibri"/>
        </w:rPr>
      </w:pPr>
      <w:r w:rsidRPr="00A4268A">
        <w:rPr>
          <w:rFonts w:eastAsia="Calibri"/>
        </w:rPr>
        <w:t>The human resources management policy, based on current good practice, guides the system for recruitment and appointment of staff. An orientation and staff training programme ensures staff are competent to undertake their role. A systematic approach to identify, plan and facilitate and record training supports safe service delivery, and includes annual performance review.</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and family members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warrant of fitness is current and is visibly displayed.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 organisation has implemented policies and procedures that support the minimisation of restraint and enabler use. There were six chair restraints and one bed side restraint being used.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Aged care specific infection surveillance is undertaken, and results reported through all levels of the organisation. Follow-up action is taken as and when required.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complaints/compliments/issues policy and associated forms meet the requirements of Right 10 of the Code. The information is provided to families/representatives on admission in the service information pack. Complaints forms are available in all service areas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reviewed showed that four complaints have been received over the past year and that actions taken, through to an agreed resolution, are documented and completed within the timeframes specified in the Code. All complainants received an acknowledgement letter from the facility manager. This was identified as an area of improvement at the previous audit which has been addressed. Action plans reviewed showed any required follow-up and improvements have been made where possible.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responsible for complaints management and follow-up. All staff confirmed a sound understanding of the complaint process and what actions are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Families confirmed that their relatives receive services in a manner that has regard for their dignity, privacy, sexuality, spirituality and choices.</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(eg, when attending personal cares, ensuring resident information is held securely and privately, exchanging verbal information). All residents have a private room. A curtain has been installed in the ablution block in Matai wing to ensure privacy of residents using the two shower cubicles and/or when other residents were being assisted with toileting, should this occur at the same time. This was an area identified for improvement in the previous audit which has been addressed</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joining in the activities provided. Each individual plan included documentation related to the resident`s abilities, and strategies to maximise independence.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as confirmed in the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members stated that they were kept well informed about any changes to their relative`s status, were advised in a timely manner about any incidents or accidents and outcomes of regular and any urgent medical reviews. This was supported in residents’ records reviewed. There was also evidence of resident/family input into the care planning process. Staff understood the principles of open disclosure and the right of families and/or representatives to receive full and frank information from service providers. This was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are able to be accessed via the DHB when required. Staff knew how to do so, although reported this was rarely required due to staff who provide interpretation as and when needed. Staff represent many nationalities in the workplace.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and improvement and business plans are a corporate template which are personalised for each individual facility in conjunction with the quality coordinator. The plans are reviewed annually. The plans reviewed outline the purpose, values, scope, direction and key quality goals of the organisation. The facility manager provides a weekly report against the quality indicators to the operations manager and quality coordinator. Reports are collated by the quality and compliance manager who reports to the company support office. A sample of reports reviewed showed adequate information to monitor performance is reported including any emerging risks and issues.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facility manager who holds relevant qualifications (Bachelor of Nursing, Diploma of Mental Health and other health professional qualifications) and has been in this role for eighteen months. The facility manager is suitably skilled and experienced for the role and has responsibilities and accountabilities defined in a job description and individual employment agreement. The facility manager interviewed has recently resigned and the position is being re-advertised. The facility manager is currently supported by the quality coordinator.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holds contracts with the Hawke`s Bay DHB for (Stage 3) dementia/medical services, psychogeriatric (stage 5) services and respite care. The transitional service has recently been de-commissioned. Fifty-six residents receive services under these contracts. On the day of audit there were 17 dementia (stage 3) and 39 psychogeriatric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system that reflects the principles of continuous improvement and is understood by staff. This includes management of incidents and complaints, audit activities, a family survey, monitoring of outcomes, and clinical incidents including infections.</w:t>
            </w:r>
          </w:p>
          <w:p w:rsidR="00EB7645" w:rsidRPr="00BE00C7" w:rsidP="00BE00C7">
            <w:pPr>
              <w:pStyle w:val="OutcomeDescription"/>
              <w:spacing w:before="120" w:after="120"/>
              <w:rPr>
                <w:rFonts w:cs="Arial"/>
                <w:b w:val="0"/>
                <w:lang w:eastAsia="en-NZ"/>
              </w:rPr>
            </w:pPr>
            <w:r w:rsidRPr="00BE00C7">
              <w:rPr>
                <w:rFonts w:cs="Arial"/>
                <w:b w:val="0"/>
                <w:lang w:eastAsia="en-NZ"/>
              </w:rPr>
              <w:t>Terms of reference and meeting minutes reviewed confirmed adequate reporting systems and discussion occurs on quality matters.  Regular review and analysis of quality indicators occurs and related information is reported and discussed at the weekly clinical team meeting, monthly quality and staff meeting. Minutes reviewed include discussion on pressure injuries, restraint minimisation and safe practice, falls, complaints, incidents/events, infections and audit results and activities. Staff reported their involvement in quality and risk activities and how they reported to the quality manager. The quality manager has been at this facility for 12 years and reports to the facility manager and the organisation’s quality and compliance manager as required. Relevant corrective actions are developed and implemented as necessary and demonstrated a continuous process of quality improvement is occurring. The service is currently transitioning all policies and procedures over to Heritage Lifecare Ltd policies and procedures and this was taken into consideration during the audit.  The policies reviewed cover all necessary aspects of the service and contractual requirements. The document control system ensures systematic and regular review process, referencing of relevant sources, approval, distribution and removal of obsolete documents. Staff are updated on new policies or changes to the policies. The ‘toolbox talks’ by the registered nurses is a forum to discuss any clinical changes with staff and this is working effectively.</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quality manager described the processes for the identification, monitoring and reporting of any risks. The quality compliance manager for Heritage Lifecare Ltd was present at the audit and discussed the quality and risk process for the organisation. The senior staff are aware of the Health and Safety at Work Act (2015) requirements and have implemented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There are separate forms, for example, for falls, skin tears and pressure injuries. The incident/accident folders are kept in each of the three wings in the home. A sample of incidents forms (new forms were implemented in April 2017), reviewed, show these were fully completed. All forms are collated and information is entered electronically onto the health and safety register (GOSH). Any alerts are sent to the quality and compliance manager and to the operations manager to follow-up immediately. All data is collated monthly, graphed and trended and a narrative summary is printed. The quality team review all incidents. Incidents are investigated, action plans developed and actions are followed-up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Previously the facility manager was responsible for all essential notification reporting. Protocol has recently changed and any regulatory obligations in relation to essential notification reporting to the correct authority is now notified by the quality and compliance manager if and when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in line with good employment practice and relevant legislation, guide human resources management processes. Position descriptions reviewed were current and defined the key tasks and accountabilities for the various roles. The recruitment process includes referee checks, police vetting and validation of qualifications and practising certificates (APCs) where required. A sample of staff records reviewed confirmed the organisation`s policies are being consistently implemented and records are systematically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that the orientation process prepared them well for their role and included a buddy system through their initial orientation period. Staff records reviewed showed documentation of completed orientation and a performance review process.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on an annual basis. Mandatory training requirements are defined and scheduled to occur over the course of the year. Care staff have either completed or commenced a New Zealand Qualification Authority education programme to meet the requirements of the provider`s agreement with the DHB. A staff member is the internal assessor for the programme. Staff working in this dementia service have either completed or are enrolled in the required education. Education records reviewed demonstrated completion of the required training. Staff reported the annual performance appraisal process provides an opportunity to discuss individual training needs, and to review competencies. Appraisals were current for staff as verified in the staff records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determining staffing levels and skill mixes in order to provide safe service delivery. A newly implemented rationale was introduced on the 3 August 2017 by Heritage Lifecare Ltd, with reduction in shifts and hours, a new roster design system, and staff being able to work across the full breadth of the facility. Consultation with staff was held and feedback was provided. Staff are adjusting to the new system currently. The staff cover the three wings of the home. Registered nurse cover 24 hours a day is available at Colwyn House. Team leader and care staff are no longer responsible for cleaning/laundry duties as previously on their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afterhours on call roster is in place, with staff reporting that good access to advice is available when needed.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reported they are able to complete the work allocated to them. Family interviewed are also adjusting to the impact of the changes. Observations and review of the new roster design shows this consists of most staff working four days on and two days off.  At least one staff member has a current first aid certificate each shift. Some staff have retained their rostered shifts. Handover was provided between all shifts.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 RN checks medications against the prescription. All medications sighted were within current use by dates. Clinical pharmacist input is provided weekly.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 the prescriber’s signature and date recorded on the commencement and discontinuation of medicines and all requirements for pro re nata (PRN) medicines met. The required three-monthly GP review is consistently recorded on the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self-administer medications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cook and kitchen team, and is in line with recognised nutritional guidelines for older people.  The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with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in the secure units have access to food and fluids to meet their nutritional needs at all times.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excellent. Care staff confirmed that care was provided as outlined in the documentation. A range of equipment and resources was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two trained diversional therapists holding the national Certificate in Diversional Therapy, and an activities officer and care staff whom support the secure units on the weekends.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three-monthly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reflect residents’ goals, ordinary patterns of life and include normal community activities. Individual, group activities and regular events are offered for example a specific men’s club, activities for the ladies and van outings.  Families/whānau are involved in evaluating and improving the programme through discussions with residents and families’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for residents from the secure units are specific to the needs and abilities of the people living there. Activities are offered at times when residents are most physically active and/or restless.  This can include music, one to one interactions and reminiscing.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and wounds.  When necessary, and for unresolved problems, long term care plans are added to and updated.  Families/whānau interviewed were able to provide examples of involvement in evaluation of progress and any resulting changes.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(expiry 28 February 2018), is publicly displayed.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the upper and lower respiratory tract. The IPC coordinator reviews all reported infections and these were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quality manager.  Data is benchmarked internally within the organisation. Benchmarking has provided assurance that infection rates in the facility are below average for the sector.</w:t>
            </w:r>
          </w:p>
          <w:p w:rsidR="00EB7645" w:rsidRPr="00BE00C7" w:rsidP="00BE00C7">
            <w:pPr>
              <w:pStyle w:val="OutcomeDescription"/>
              <w:spacing w:before="120" w:after="120"/>
              <w:rPr>
                <w:rFonts w:cs="Arial"/>
                <w:b w:val="0"/>
                <w:lang w:eastAsia="en-NZ"/>
              </w:rPr>
            </w:pPr>
            <w:r w:rsidRPr="00BE00C7">
              <w:rPr>
                <w:rFonts w:cs="Arial"/>
                <w:b w:val="0"/>
                <w:lang w:eastAsia="en-NZ"/>
              </w:rPr>
              <w:t>One resident in January, four residents in February and March and three residents in April of 2017 were diagnosed with Scabies with a second outbreak of four residents and one staff member effected in July 2017.  External clinical support was contacted and a plan was developed with staff at the facility and the GP.  Health warning signs/communication were put in place and cleaning, laundry and personal hygiene were emphasised.  A corrective action plan was sighed meeting all legislation and standard requirements which included education.</w:t>
            </w:r>
          </w:p>
          <w:p w:rsidR="00EB7645" w:rsidRPr="00BE00C7" w:rsidP="00BE00C7">
            <w:pPr>
              <w:pStyle w:val="OutcomeDescription"/>
              <w:spacing w:before="120" w:after="120"/>
              <w:rPr>
                <w:rFonts w:cs="Arial"/>
                <w:b w:val="0"/>
                <w:lang w:eastAsia="en-NZ"/>
              </w:rPr>
            </w:pPr>
            <w:r w:rsidRPr="00BE00C7">
              <w:rPr>
                <w:rFonts w:cs="Arial"/>
                <w:b w:val="0"/>
                <w:lang w:eastAsia="en-NZ"/>
              </w:rPr>
              <w:t>A summary report for a recent gastrointestinal infection outbreak that occurred in January 2017 was reviewed and demonstrated a thorough process for investigation and follow up.  Learnings from the event have now been incorporated into practice, with additional staff education implemented.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provided guidance on the safe use of both restraints and enablers. The restraint coordinator demonstrated a sound understanding of the organisation`s policies, procedures, practice and responsibilities. Due to the nature of this dementia and psychogeriatric care service there were six chair restraints and one bedside restraint being used. Independence and safety is promoted. This was evident from review of residents’ records, staff interviews and management interviews.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Colwyn House</w:t>
    </w:r>
    <w:bookmarkEnd w:id="58"/>
    <w:r>
      <w:rPr>
        <w:rFonts w:cs="Arial"/>
        <w:sz w:val="16"/>
        <w:szCs w:val="20"/>
      </w:rPr>
      <w:tab/>
      <w:t xml:space="preserve">Date of Audit: </w:t>
    </w:r>
    <w:bookmarkStart w:id="59" w:name="AuditStartDate1"/>
    <w:r>
      <w:rPr>
        <w:rFonts w:cs="Arial"/>
        <w:sz w:val="16"/>
        <w:szCs w:val="20"/>
      </w:rPr>
      <w:t>11 September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