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Karadean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Karadean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October 2017</w:t>
      </w:r>
      <w:bookmarkEnd w:id="7"/>
      <w:r w:rsidRPr="009418D4">
        <w:rPr>
          <w:rFonts w:cs="Arial"/>
        </w:rPr>
        <w:tab/>
        <w:t xml:space="preserve">End date: </w:t>
      </w:r>
      <w:bookmarkStart w:id="8" w:name="AuditEndDate"/>
      <w:r w:rsidR="00A4268A">
        <w:rPr>
          <w:rFonts w:cs="Arial"/>
        </w:rPr>
        <w:t>4 October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Karadean Court provides rest home and hospital level care for up to 53 residents. The service is operated by Ultimate Care Group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volunteers and a general practitioner. </w:t>
      </w:r>
    </w:p>
    <w:p w:rsidRPr="00A4268A">
      <w:pPr>
        <w:spacing w:before="240" w:line="276" w:lineRule="auto"/>
        <w:rPr>
          <w:rFonts w:eastAsia="Calibri"/>
        </w:rPr>
      </w:pPr>
      <w:r w:rsidRPr="00A4268A">
        <w:rPr>
          <w:rFonts w:eastAsia="Calibri"/>
        </w:rPr>
        <w:t xml:space="preserve">This audit has resulted in one area identified as requiring improvement relating to residents’ weights.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Opportunities to discuss the Code, consent and availability of advocacy services with residents are provided at the time of their admission and thereafter as required. Staff training on the Code is being provided.</w:t>
      </w:r>
    </w:p>
    <w:p w:rsidRPr="00A4268A">
      <w:pPr>
        <w:spacing w:before="240" w:line="276" w:lineRule="auto"/>
        <w:rPr>
          <w:rFonts w:eastAsia="Calibri"/>
        </w:rPr>
      </w:pPr>
      <w:r w:rsidRPr="00A4268A">
        <w:rPr>
          <w:rFonts w:eastAsia="Calibri"/>
        </w:rPr>
        <w:t xml:space="preserve">Services provided respect the choices, personal privacy, independence, individual needs and dignity of residents. Staff were observed to be interacting with residents in a respectful manner. </w:t>
      </w:r>
    </w:p>
    <w:p w:rsidRPr="00A4268A">
      <w:pPr>
        <w:spacing w:before="240" w:line="276" w:lineRule="auto"/>
        <w:rPr>
          <w:rFonts w:eastAsia="Calibri"/>
        </w:rPr>
      </w:pPr>
      <w:r w:rsidRPr="00A4268A">
        <w:rPr>
          <w:rFonts w:eastAsia="Calibri"/>
        </w:rPr>
        <w:t xml:space="preserve">A comprehensive Māori health plan and related policies are in place. There were no residents who identifies as Māori at the time of the audit; however, suitable systems are in place, including access to appropriate cultural support, that will enable support to be provided in a manner that respects Māori cultural values and beliefs.  </w:t>
      </w:r>
    </w:p>
    <w:p w:rsidRPr="00A4268A">
      <w:pPr>
        <w:spacing w:before="240" w:line="276" w:lineRule="auto"/>
        <w:rPr>
          <w:rFonts w:eastAsia="Calibri"/>
        </w:rPr>
      </w:pPr>
      <w:r w:rsidRPr="00A4268A">
        <w:rPr>
          <w:rFonts w:eastAsia="Calibri"/>
        </w:rPr>
        <w:t xml:space="preserve">There was no evidence of abuse, neglect or discrimination and staff understood the ‘no tolerance’ stance of the organisation.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was confirmed to be effective. There is access to formal interpreting services if required.  </w:t>
      </w:r>
    </w:p>
    <w:p w:rsidRPr="00A4268A">
      <w:pPr>
        <w:spacing w:before="240" w:line="276" w:lineRule="auto"/>
        <w:rPr>
          <w:rFonts w:eastAsia="Calibri"/>
        </w:rPr>
      </w:pPr>
      <w:r w:rsidRPr="00A4268A">
        <w:rPr>
          <w:rFonts w:eastAsia="Calibri"/>
        </w:rPr>
        <w:t xml:space="preserve">The service is maintaining linkages with the community and to specialist health care providers. Visitors are welcome. </w:t>
      </w:r>
    </w:p>
    <w:p w:rsidRPr="00A4268A">
      <w:pPr>
        <w:spacing w:before="240" w:line="276" w:lineRule="auto"/>
        <w:rPr>
          <w:rFonts w:eastAsia="Calibri"/>
        </w:rPr>
      </w:pPr>
      <w:r w:rsidRPr="00A4268A">
        <w:rPr>
          <w:rFonts w:eastAsia="Calibri"/>
        </w:rPr>
        <w:t>Informed consent processes for a range of different situations are documented and signed off in residents’ files.  Residents are given choices.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Ultimate Care Group, with specific reference to Ultimate Care Karadean Court.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Information packages that describe the services provided and the admission process are available. Ultimate Care Karadean Court work with local Needs Assessment and Service Co-ordination Services, to ensure access to the facility is appropriate and efficiently managed.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A range of assessment tools are used.  Registered nurses are on duty 24 hours each day in the facility and are supported by caregivers, allied health staff and a general practitioner.   Shift handovers guide continuity of care and the clinical services manager provides additional support to the team.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overseen by a diversional therapist,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both registered nurses and care staff, all of whom have been assessed as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The kitchen was well organised, clean and meets food safety standards. Staff have food safety qualifications. Residents verified satisfaction with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restraints were in use at the time of the audit. Three enablers were in use.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is reviewed annually and related policies and procedures are signed off by the Clinical Advisory Panel of the Ultimate Care Group. A suitably qualified infection control nurse, who is currently receiving oversight from the clinical services manager, is responsible for implementation of the programme. </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procedures and supported with regular and ongoing education. </w:t>
      </w:r>
    </w:p>
    <w:p w:rsidRPr="00A4268A">
      <w:pPr>
        <w:spacing w:before="240" w:line="276" w:lineRule="auto"/>
        <w:rPr>
          <w:rFonts w:eastAsia="Calibri"/>
        </w:rPr>
      </w:pPr>
      <w:r w:rsidRPr="00A4268A">
        <w:rPr>
          <w:rFonts w:eastAsia="Calibri"/>
        </w:rPr>
        <w:t xml:space="preserve">Aged care specific infection surveillance is undertaken, with evidence of reported infections being analysed for trends and the results being benchmarked with national organisational data. Results and recommended actions are reported through all levels of both the facility and the organisation. Relevant actions, such as additional education, are being undertaken when surveillance processes indicate the need.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80"/>
        <w:gridCol w:w="1280"/>
        <w:gridCol w:w="937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procedures and processes around the service provider meeting their obligations in relation to the Code of Health and Disability Services Consumers’ Rights (the Code) were reviewed.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and staff reported and demonstrated their familiarity with informed consent processes. A policy on informed consent includes the definition of informed consent and references a range of other documents which are relevant to the topic. On admission, each resident signs an informed consent form for care and treatment, and a permission to collect, store and release information form. Completed versions were sighted in all resident records reviewed. Likewise, a range of other signed and dated consent forms were on file, including resident’s individual choice regarding resuscitation, treatment of serious illness, a generic training /procedure consent form and an influenza vaccination consenting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gaining residents’ verbal assent, or otherwise, for their participation in day to day routines such as activities and personal care and support. Residents confirmed staff ask their permission before they do things. Organisational documentation describes processes to be followed when a person is deemed as medically unable to give informed consent themselves. Enduring power of attorney documentation was on file as applicable. </w:t>
            </w:r>
          </w:p>
          <w:p w:rsidR="00EB7645" w:rsidRPr="00BE00C7" w:rsidP="00BE00C7">
            <w:pPr>
              <w:pStyle w:val="OutcomeDescription"/>
              <w:spacing w:before="120" w:after="120"/>
              <w:rPr>
                <w:rFonts w:cs="Arial"/>
                <w:b w:val="0"/>
                <w:lang w:eastAsia="en-NZ"/>
              </w:rPr>
            </w:pPr>
            <w:r w:rsidRPr="00BE00C7">
              <w:rPr>
                <w:rFonts w:cs="Arial"/>
                <w:b w:val="0"/>
                <w:lang w:eastAsia="en-NZ"/>
              </w:rPr>
              <w:t>Other than the documents described, there were no formalised advance directives sighted in the resident files reviewed. One person had a section of an advance care plan completed and signed. Staff are currently undertaking training on advance care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an information folder, which includes a copy of the Code. This includes information on the Advocacy Service. Posters related to the Advocacy Service were also displayed in the facility, and additional brochures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and examples of their involvement were discussed with the clinical services manager. A representative from the advocacy services has recently visited to provide staff training on the topic.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records sighted confirmed that residents are assisted to maximise their potential for self-help and to maintain links with their family and the community by attending a variety of organised outings, visits, shopping trips, activities, and entertainment. Participation in these were evident during the audit. An Ultimate Care Karadean Court van facilitates residents’ attendance on outings and at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feel welcome when they visit and comfortable in their dealings with staff.</w:t>
            </w:r>
          </w:p>
          <w:p w:rsidR="00EB7645" w:rsidRPr="00BE00C7" w:rsidP="00BE00C7">
            <w:pPr>
              <w:pStyle w:val="OutcomeDescription"/>
              <w:spacing w:before="120" w:after="120"/>
              <w:rPr>
                <w:rFonts w:cs="Arial"/>
                <w:b w:val="0"/>
                <w:lang w:eastAsia="en-NZ"/>
              </w:rPr>
            </w:pPr>
            <w:r w:rsidRPr="00BE00C7">
              <w:rPr>
                <w:rFonts w:cs="Arial"/>
                <w:b w:val="0"/>
                <w:lang w:eastAsia="en-NZ"/>
              </w:rPr>
              <w:t>Community involvement was evident with volunteers providing one on one support to some clients and/or sharing specialist skills with residents. Two volunteers were interviewed and both confirmed that they were oriented and are always welcomed by management, staff and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eight complaints have been received over the past year and that actions taken, through to an agreed resolution, are documented and completed within the timeframes required.  Action plans showed any required follow up and improvements have been made where possible.  The facility manager (FM) is responsible for complaints management and follow up. All staff interviewed confirmed a sound understanding of the complaint process and what actions are required. There has been one complaint received from the Health and Disability Commissioner since the previous audit.  All documents and information requested has been forwarded to the HDC and the FM is waiting for any further follow-up process or actions from the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informed that residents and family members are informed about the Code and about how to make a complaint at the time of admission. A copy of the information pack that is provided to residents on admission included a brochure on the Code and advocacy services. Further brochures on the Code and advocacy services were at the front door and a copy of the Code of Rights poster in both English and te reo Māori was on display. A volunteer had had the Code explained to her and residents confirmed during interviews that they had had them explained to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for privacy and dignity describe clear and specific behaviours expected of staff when supporting residents. These include examples of ways to ensure people’s dignity is maintained, ways in which their privacy is maintained and note that people’s religious and cultural values and beliefs will be respected. A privacy and dignity policy refers to the Privacy Act requirements for handling residents’ personal information. The facility manager is the privacy officer and guidelines for this role are listed. A policy on elder abuse and neglect describes how staff will ensure that no resident is subjected to abuse or neglect. This includes definitions of both abuse and neglect and the process of reporting any suspected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are receiving services in a manner that has regard for their dignity, privacy, sexuality, spirituality and choices. Staff were observed ensuring doors were closed, residents’ information was kept in the nurses’ station and private conversations were not heard in public areas. All residents have their own private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Māori Health Plan, a Māori Health policy, Māori perspective on health, and cultural safety policy. The Māori Health Plan includes the three principles of Partnership, Participation and Protection and describes how the holistic view of Māori health is to be incorporated into the delivery of services. Contact details for a person from the local iwi, who is prepared to support any resident who identifies as Māori and to assist staff if necessary, were sighted. The facility manager and the clinical services manager spoke of their awareness of the importance of family/whānau for all residents, especially those who identify as Māori, and of Māori health pathways. They also noted the preparedness of the Oxford community centre to provide additional support services for any resident who identifies as Māori. Staff undertake Māori cultural training every two years and two staff who identify with their Māori culture further assist colleagues with this. There are not currently any residents who identify as Māori at Ultimate Care Karadean Court.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recognition of individual beliefs and values policy describes the process of including each person’s own values and beliefs into their care plan and doing this with family/whānau involved in the process, as per the resident’s choice. Staff training about residents’ rights includes supporting residents to achieve their values and beliefs and in assisting them to practice any cultural activities. There is one person from another country whose needs are being acknowledged and examples of how the needs of two previous residents from other nations were met were provided.  Staff at Ultimate Care Karadean Court talked of the residents’ cultural needs in relation to the fact that most of the residents have come from the surrounding rural community and most are known within the small town of Oxford.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volunteer coordinates a Bible Study Group each week, a pastoral worker is available to support residents and there are weekly interdenominational services in the communal lounge each week. The social profile that is completed for all residents on admission reflects individual values and beliefs and residents stated that these needs are being met at the level they are capable of pursing them.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documentation that demonstrated the service provider’s stance of having no tolerance for any discrimination, coercion, harassment, sexual, financial, or other exploitation were provided. Residents, family members and volunteers were clear that they had not seen any evidence of such behaviour. The clinical services manager informed of actions taken to ensure that staff relations with residents work well to reduce the likelihood of these behaviours. There was no evidence of such actions within the incident reports viewed in residents’ files, or through the incident reporting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Karadean Court provided examples of quality improvement initiatives that they have undertaken. The service encourages and promotes good practice through working cooperatively with external specialist services and allied health professionals, including a palliative nurse, a district nurse, wound care specialist, community dieticians, services for older people, and mental health services for older persons.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the excellence of the activities coordinator in delivering a varied and individualised resident-centred activity programme. Part of this is the result of making additional efforts to recognise the type of activities individuals were responding to and developing on this. Another example is a programme that has seen residents become more involved in the orientation of new residents and implementing a ‘buddy’ system to support this. A third example was the efforts made to reduce timeframes for staff to answer call bells.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how they are encouraged to take on additional education. They confirmed they are well supported by the registered nurses and managers and they are given explanations of why they need to do things certain ways, which is enabling them to increase their confidence and promotes their compliance with best practice. The clinical services manager informed she has an expectation of team work and that she has an open-door policy for caregivers to ask questions and check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guidelines for communicating with residents, relatives and visitors which sets out expected behaviours of staff. The need for open disclosure and what this constitutes is also noted in policy documentation. Incident forms include checklists used to confirm when open disclosure with family/whānau has been completed. Residents and family members stated they are kept well informed about any changes to their/their relative’s status, are advised in a timely manner about any incidents or accidents and the outcomes of reviews. This was supported in residents’ records reviewed and confirmed in examples provided by two residents.  Client records included evidence of resident/family input into the care planning process and a registered nurse noted that they are encouraged to telephone, rather than email, families unless this has been specifically requested.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language policy directs staff to speak English in front of residents / family / whānau and with them. Contact details of the interpreter services were on the wall of the nurses’ station. The clinical services manager noted that in her memory they have only accessed interpreter services once. Although that resident is no longer at the facility the experience worked well, as by coincidence the interpreter was local.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Ultimate Care Group with specific reference to Ultimate Care Karadean Court. The documents described annual and longer term objectives and the associated operational plans. A sample of monthly reports to the board of directors showed adequate information to monitor performance is reported including emerging risks and issues, staffing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(FM) who holds relevant qualifications and has been in the role for just under a year. Responsibilities and accountabilities are defined in a job description and individual employment agreement.  The FM confirmed knowledge of the sector, regulatory and reporting requirements and maintains currency through attending health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MoH for younger people with a disability (YPD), respite, palliative and complex medical conditions.  Thirty-nine residents were receiving services under the DHB contract including one respite resident and three MoH YPD at the time of audit. In each service stream were 19 rest home residents and 20 hospital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the clinical services manager (CSM) carries out all the required duties under delegated authority, with additional support from head office. During absences of key clinical staff, the clinical management is overseen by another registered nurse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team meeting, quality and risk team meetings and staff meetings. Staff reported their involvement in quality and risk management activities through audit activities and survey feedback, attendance at meetings. Relevant corrective actions are developed and implemented to address any shortfalls. Resident and family satisfaction surveys are completed annually. The most recent survey showed average call bell response time was slower than expected. As a result, the facility completed staff training and completed audits on response times showing the times had reduced significantly. This was confirmed by residents and family.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completed, incidents were investigated, action plans developed and actions followed-up in a timely manner.  Adverse event data is collated, analysed and reported to head office as they happen.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essential notification reporting requirements, including for pressure injuries.  They advised there have been no notifications of significant events made to the Ministry of Health,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At least one staff member on duty has a current first aid certificate and there is 24 hour/seven days a week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clinical records documentation policy is in place. The name, date of birth and National Health Index (NHI) number of residents were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reception person organises records for archiving. 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It was observed during the audit that staff took time to ensure that no personal or private resident information was on public display.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explained that referrals into the service are received by fax or email from GPs, hospitals, and a local needs assessment and services coordination agency (NASC). Residents only enter the service once their required level of care has been assessed and confirmed by the local NASC service. Prospective residents and/or their families are encouraged to visit the facility prior to admission and meet with the facility manager and/or the clinical services manager. They are also provided with a folder of written information about the service and the admission process.  At times the service operates a waiting list for entry; however, this is not always required. New residents get to choose their room when this is possible.</w:t>
            </w:r>
          </w:p>
          <w:p w:rsidR="00EB7645" w:rsidRPr="00BE00C7" w:rsidP="00BE00C7">
            <w:pPr>
              <w:pStyle w:val="OutcomeDescription"/>
              <w:spacing w:before="120" w:after="120"/>
              <w:rPr>
                <w:rFonts w:cs="Arial"/>
                <w:b w:val="0"/>
                <w:lang w:eastAsia="en-NZ"/>
              </w:rPr>
            </w:pPr>
            <w:r w:rsidRPr="00BE00C7">
              <w:rPr>
                <w:rFonts w:cs="Arial"/>
                <w:b w:val="0"/>
                <w:lang w:eastAsia="en-NZ"/>
              </w:rPr>
              <w:t>Two family members confirmed during interviews that they were satisfied with the level of information they were provided with at the time of admission and about the time staff spent with them to explain things.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Exits and transfers are managed in a planned and co-ordinated manner, with an escort when appropriate. Most discharges were reported as being of resident deaths. Respite discharges are less formal as those receiving respite care are people known to the service and who are generally scheduled to return. An entry and exit form is completed and the discharge is recorded in the resident’s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predetermined set of records including the interRAI transfer form, at least 24 hours of progress notes, the latest GP notes when relevant, an admission form (or interRAI record) with demographic information and the interRAI care plan is collated to facilitate any transfer of residents to acute care services. </w:t>
            </w:r>
          </w:p>
          <w:p w:rsidR="00EB7645" w:rsidRPr="00BE00C7" w:rsidP="00BE00C7">
            <w:pPr>
              <w:pStyle w:val="OutcomeDescription"/>
              <w:spacing w:before="120" w:after="120"/>
              <w:rPr>
                <w:rFonts w:cs="Arial"/>
                <w:b w:val="0"/>
                <w:lang w:eastAsia="en-NZ"/>
              </w:rPr>
            </w:pPr>
            <w:r w:rsidRPr="00BE00C7">
              <w:rPr>
                <w:rFonts w:cs="Arial"/>
                <w:b w:val="0"/>
                <w:lang w:eastAsia="en-NZ"/>
              </w:rPr>
              <w:t>There is open communication between all services, the resident and the family, which family members confirmed.  All referrals and transfers are documented in the progress notes and examples of this having occurred were viewed. The clinical services manager noted that if a person is transferring to another facility that key staff will always accompany them and a personal handover will be provided as well as the required resident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Within the clinical procedures of the organisational documents, there is a suite of medication management related documents. These include the wider management of medicines, reconciliation of blister packaged medicines, administering injections, non-package pro-re-nata (PRN) medication records, standing orders and warfarin management. In addition to procedural guidelines, are medication competency assessment questions and model answers for staff members.  </w:t>
            </w:r>
          </w:p>
          <w:p w:rsidR="00EB7645" w:rsidRPr="00BE00C7" w:rsidP="00BE00C7">
            <w:pPr>
              <w:pStyle w:val="OutcomeDescription"/>
              <w:spacing w:before="120" w:after="120"/>
              <w:rPr>
                <w:rFonts w:cs="Arial"/>
                <w:b w:val="0"/>
                <w:lang w:eastAsia="en-NZ"/>
              </w:rPr>
            </w:pPr>
            <w:r w:rsidRPr="00BE00C7">
              <w:rPr>
                <w:rFonts w:cs="Arial"/>
                <w:b w:val="0"/>
                <w:lang w:eastAsia="en-NZ"/>
              </w:rPr>
              <w:t>The Medi-Map electronic system is used to enable safer medication management and administration recording. Routine medications are supplied by the pharmacy in blister pack form. The medications that are not pre-packaged are individually supplied for each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delivered, medications are checked for accuracy against the medication chart and the delivery date is entered into Medi-Map by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The resident’s GP reviews medication charts on admission and three monthly thereafter, or makes alterations as required. Pharmacy input is available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in accordance with regulations. Two staff (one RN) competent in medicines management, check, administer, and record accurately. Weekly and six monthly stock balances were evidenced in the register.</w:t>
            </w:r>
          </w:p>
          <w:p w:rsidR="00EB7645" w:rsidRPr="00BE00C7" w:rsidP="00BE00C7">
            <w:pPr>
              <w:pStyle w:val="OutcomeDescription"/>
              <w:spacing w:before="120" w:after="120"/>
              <w:rPr>
                <w:rFonts w:cs="Arial"/>
                <w:b w:val="0"/>
                <w:lang w:eastAsia="en-NZ"/>
              </w:rPr>
            </w:pPr>
            <w:r w:rsidRPr="00BE00C7">
              <w:rPr>
                <w:rFonts w:cs="Arial"/>
                <w:b w:val="0"/>
                <w:lang w:eastAsia="en-NZ"/>
              </w:rPr>
              <w:t>All drugs are stored safely and methodically with no overdue stock. The temperature of the medication fridge is checked and recorded daily and was within the recommended range. There is a register of competent drug administrators and specimen signatures, both of which are renewed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There was one resident who was self-administering medications at the time of audit. Policies and procedures for this were followed with good documentation. Staff check when doing regular medication rounds and record on a signing sheet.</w:t>
            </w:r>
          </w:p>
          <w:p w:rsidR="00EB7645" w:rsidRPr="00BE00C7" w:rsidP="00BE00C7">
            <w:pPr>
              <w:pStyle w:val="OutcomeDescription"/>
              <w:spacing w:before="120" w:after="120"/>
              <w:rPr>
                <w:rFonts w:cs="Arial"/>
                <w:b w:val="0"/>
                <w:lang w:eastAsia="en-NZ"/>
              </w:rPr>
            </w:pPr>
            <w:r w:rsidRPr="00BE00C7">
              <w:rPr>
                <w:rFonts w:cs="Arial"/>
                <w:b w:val="0"/>
                <w:lang w:eastAsia="en-NZ"/>
              </w:rPr>
              <w:t>A medicine administration round was observed. Staff observed were familiar with medications used in the facility and were aware of procedures for adverse reactions.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cook and kitchen team and is in line with recognised nutritional guidelines for older people.  The four-week rotating menu with winter and summer options that is used by the Ultimate Care Group facilities is also being used at Ultimate Care Karadean Court. Evidence of the menu having been reviewed by a dietitian was supplied.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and a nutritional profile are completed for each resident on admission. Personal food preferences, any requirements for modified diets, or of food textures, and for assistance with feeding are identified through this process. The registered nurse is responsible for providing these records with the kitchen and updating these when a person’s condition changes. Kitchen staff described the systems in place to demonstrate that residents’ needs are met and how they liaise with the caregivers and the registered nurses to achieve this. According to the evidence available, adequate nutrition is available, and people who demonstrate weight loss are being seen by relevant health professionals; however the number of residents losing weight, or continuing to lose weight is unusually high and has been raised as a corrective action for further investigation.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has kitchen check systems and cleaning schedules that are being meticulously completed each day. Food temperatures, including for high risk items, are monitored appropriately and recorded as part of the plan. Fridge and freezer temperatures are also being monitored daily. The food services manager has undertaken a safe food handling qualification, with kitchen assistants also having completed relevant food handling training. Kitchen staff are familiarising themselves with the food safety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on resident screening and selection is available. The facility and clinical services managers informed that if a person is clearly unsuitable for this facility, do not fit the criteria for entry, or they do not believe they will be able to provide the required level of care, then they may decline entry. Options are reportedly provided to the enquirer or are discussed with the needs assessment service if this is relevant. The managers stated that this has happened and they have been open and honest. A declined entry form is completed and the situation included in management level reports.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an initial nursing assessment and validated nursing assessment tools, including those for pressure injury risk, falls risk, continence, nutrition and oral health. The information obtained from these and from the interRAI assessment is used to inform care planning and contribute to goal development. A master list demonstrated that all residents have current interRAI assessments completed by one of four trained interRAI assessors on site. The sample of care plans reviewed had an integrated range of resident-related information. Information from other sources, such as relatives, medical records, a medical review and a social profile also contribute to care and support plans and activity plans including goal setting. Pain assessments are recorded into ‘Medi-Map’ and baseline recordings are taken in preparation for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care plans reviewed. A standard format that is extremely lengthy is currently in use. The clinical coach for the organisation described the process that is commencing with staff toolbox training to progressively introduce a new template as resident reviews fall due. An example of this version was sighted, is more stream-lined and focuses on the issues identified through assessment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Short term care plans are being used with clearly written goals and interventions towards resolution of the identified concern. Two examples of previous short term care plan issues having been integrated into the long term care plan were sighted.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team reported that the focus of the service delivery plans for young people with disabilities is around support and lifestyle and this was evident in the one reviewed and in conversation with a volunteer, the diversional therapist and one such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During the GP interview, he verified that medical input is sought when required, noted the excellent palliative/end of life care provided at Ultimate Care Karadean Court and commented on the skills of the registered nurses with wound care and healing. Caregivers noted they have access to the service delivery plans and use these, information from staff handovers at shift changes and registered nurse advice to provide residents’ care. Residents and family members consistently reported the dedication of staff and the excellent care and support provided.</w:t>
            </w:r>
          </w:p>
          <w:p w:rsidR="00EB7645" w:rsidRPr="00BE00C7" w:rsidP="00BE00C7">
            <w:pPr>
              <w:pStyle w:val="OutcomeDescription"/>
              <w:spacing w:before="120" w:after="120"/>
              <w:rPr>
                <w:rFonts w:cs="Arial"/>
                <w:b w:val="0"/>
                <w:lang w:eastAsia="en-NZ"/>
              </w:rPr>
            </w:pPr>
            <w:r w:rsidRPr="00BE00C7">
              <w:rPr>
                <w:rFonts w:cs="Arial"/>
                <w:b w:val="0"/>
                <w:lang w:eastAsia="en-NZ"/>
              </w:rPr>
              <w:t>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One qualified diversional therapist who has a national certificate in diversional therapy leads the planned activities within Ultimate Care Karadean Court. Volunteers from the local community contribute by offering one on one support, especially for the young people with disabilities, and by sharing specialist skills. Two of the volunteers and the diversional therapist were interviewed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planned by the diversional therapist one month ahead and examples of these were sighted. The monthly plans demonstrated that optional activities varied from picking flowers, puzzles, exercises and skittles, horse training, walking groups, ‘Men’s Shed’, library visits, entertainment groups, music sessions and quizzes, to mention a few. Thirteen options for outings during the month of October were scheduled in additional to the in-house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completes an individual social profile for each resident within two weeks of admission and examples of these were in residents’ files. Some information may be gleaned from the interRAI and care plan assessment processes. These social profiles help the therapist to ascertain residents’ needs, interests, abilities and social requirements. Planned monthly activities match the skills, likes, dislikes and interests identified in assessment data. A personalised recreation activities form is developed at the same time as the social profile. Individualised activities records are completed daily and these are reviewed at least monthly. Resident’s activity goals and needs are evaluated three monthly and as part of their formal six 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minuted residents’ and indicated residents’ input is sought and responded to.  Residents interviewed confirmed they find the programme has plenty of variety and is often ‘loads of fun’. High levels of participation were evident during the audit, including of the young people with disabilities. Staff assured the auditor this was normal attendance levels and attributed this to the ‘energy’ of the diversional therapist.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According to the clinical services manager, a primary nursing model is in place and the registered nurse responsible for specific residents liaises directly with the clinical services manager regarding the residents. There is an expectation that progress notes of residents are written for every resident on every shift and this was evidenced in the residents’ files that were reviewed. Similarly, when evaluation, review and monitoring processes are undertaken any identified changes to the resident’s service delivery plan is to be recorded and examples of such changes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Medical reviews are completed every three months and although some reviews had been delayed earlier in the year, the medical reviews in the files reviewed were all current. Six monthly multidisciplinary meetings involving the residents and family members, as they choose are occurring. Reviews from all disciplines involved in the person’s care and support and from the primary nurse are occurring. These follow the reassessment of the resident’s interRAI. Short term care plans are being reviewed every one to two days by the registered nurse on duty. Records for other monitoring processes, such as food and fluid charts and wounds, for example, are being consistently completed.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regular GP who visits the service, residents may choose to use another and some have. If the need for other non-urgent services are indicated or requested, the GP or RN sends a referral to seek specialist input.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Copies of referrals were sighted in residents’ files, including to dietitians, speech language therapists, podiatry, older persons’ mental health services and wound specialist services. A domiciliary dental service is available; otherwise residents are taken to their private dentist, or to the hospital dental department in the city. </w:t>
            </w:r>
          </w:p>
          <w:p w:rsidR="00EB7645" w:rsidRPr="00BE00C7" w:rsidP="00BE00C7">
            <w:pPr>
              <w:pStyle w:val="OutcomeDescription"/>
              <w:spacing w:before="120" w:after="120"/>
              <w:rPr>
                <w:rFonts w:cs="Arial"/>
                <w:b w:val="0"/>
                <w:lang w:eastAsia="en-NZ"/>
              </w:rPr>
            </w:pPr>
            <w:r w:rsidRPr="00BE00C7">
              <w:rPr>
                <w:rFonts w:cs="Arial"/>
                <w:b w:val="0"/>
                <w:lang w:eastAsia="en-NZ"/>
              </w:rPr>
              <w:t>The resident and the family are kept informed of the referral process, as verified during interviews and in progress note records and family communication recording sheets. Any acute/urgent referrals are attended to immediately, such as sending the resident to accident and emergency by ambulance if the circumstances dictate.</w:t>
            </w:r>
          </w:p>
          <w:p w:rsidR="00EB7645" w:rsidRPr="00BE00C7" w:rsidP="00BE00C7">
            <w:pPr>
              <w:pStyle w:val="OutcomeDescription"/>
              <w:spacing w:before="120" w:after="120"/>
              <w:rPr>
                <w:rFonts w:cs="Arial"/>
                <w:b w:val="0"/>
                <w:lang w:eastAsia="en-NZ"/>
              </w:rPr>
            </w:pPr>
            <w:r w:rsidRPr="00BE00C7">
              <w:rPr>
                <w:rFonts w:cs="Arial"/>
                <w:b w:val="0"/>
                <w:lang w:eastAsia="en-NZ"/>
              </w:rPr>
              <w:t>A physiotherapist comes in once a fortnight and sees every resident as soon as possible after admission and every six to twelve months thereafter. Records of these visits are now being integrated into allied health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Chemical Handling Approved Handler Training (HSNO).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20 June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shared ensuites.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photos and other personal items displayed. 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or by family members if requested.  Dedicated laundry staff demonstrated a sound knowledge of the laundry processes, dirty to 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These staff have completed all relevant training,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20 April 1999.  A trial evacuation takes place six-monthly with a copy sent to the New Zealand Fire Service, the most recent being on 05 September 2017.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number of residents. Water storage containers are located around the complex, and there is a generator available upon request.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 an improvement since the last resident survey.</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many have doors that open onto outside garden or small patio areas. Heating is provided by fixed electric heaters in residents’ rooms and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programme.  Infection control management is guided by a comprehensive and current infection control manual, developed at organisational level, with input from the Ultimate Care Group’s clinical advisory panel. The infection control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infection control nurse has overall responsibility for infection prevention and control, including infection surveillance activities. Infection control matters are reported monthly to registered nurse meetings, the infection control meetings and the quality and risk meetings. Infection control meetings have representation from throughout the facility, including the food services area, management and caregivers.  </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documented role description is available for an infection control nurse, who is responsible for implementation of the infection control programme. The clinical nurse manager informed she continues to oversee the infection control nurse who is a senior registered nurse but has only been in the role for two months. In a previous role elsewhere, she was an infection control nurse, an infection control auditor and a Gold Auditor for hand hygiene, therefore has the required skills and experience to complete the required tasks. The infection control nurse has been enrolled in further ongoing training and applied for the Nursing Council infection control ‘boot camp’.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Infection control manual with sections on infection and management, infection control, quality and risk management, infection control staff and health practices, policies and procedures, waste management and public health fact sheets.  These have been developed in consultation with infection prevention experts and comply with current recommended best practice. A master record of updates demonstrates that all documents were current.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Ultimate Care Group has supported the enrolment of the infection control nurse into further advanced education. The infection control nurse has already commenced formal infection control training with staff. This has included the introduction of the ‘five moments’ handwashing programme, a specialist topic and laundry and sluice room practice. During interview the infection control nurse described incidental education of staff when she sees poor practice, and an example of this was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on the surveillance of infections and procedure for surveillance of infections. In addition, a strategic document on infection control governance provides the organisational context for infection prevention and control practice that includes the infection surveillance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Although the infection control coordinator will be responsible for infection surveillance going forward, the clinical services manager informed that she currently reviews reported infections in consultation with the infection control nurse, each month. Graphs are formulated to identify trends and comparisons of data are made with that of previous months and years; as well as with the organisation’s (Ultimate Care Group) national data. Surveillance reports and conclusions from review of the data are being reported to monthly meetings, including quality and risk management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in the surveillance programme include those of the urinary tract, skin, eyes, mouth and respiratory system.  Since the last audit, there have been no outbreaks, or incidence of multi-resistant organisms reported. Surveillance and infection prevention internal audits assist the service provider in planning education and related quality improvement processes, which was confirmed by the infection control nurse and in the related documents. The surveillance programme is appropriate to that recommended for long term care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three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restraints in use since the last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76"/>
        <w:gridCol w:w="1280"/>
        <w:gridCol w:w="7575"/>
        <w:gridCol w:w="2226"/>
        <w:gridCol w:w="13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meets the requirements for an aged care facility and suitable systems are in place for ensuring individual resident’s nutritional needs are met. The organisation has identified that there is a problem and monitoring processes with monthly reviews of the weight of all residents is consistently occurring and percentages of weight loss identified. Suggested reasons for weight gain and loss are made within the monitoring processes and referrals are being made to dietitians and/or the GP when this becomes evident. Senior staff and the GP noted that many people have become increasingly frail, although the GP did comment on reviewing residents with weight loss.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day one of the audit an observation of what was happening in the dining room demonstrated that residents were not being encouraged to eat, for at least five residents it was assumed they did not want it if they had not eaten much and the plate was removed. One person was told they would not eat it because they never do. A caregiver feeding one person was doing many other tasks simultaneously, the food was becoming increasingly cold and the intake was minimal before the person gave up. During a spot observation the following day a similar thing happened with this person and the caregiver, although two more caregivers were feeding residents. On two different occasions during the audit people were offered their meal or ‘fortisip’, indicating it was being considered a substitute, rather than a supplement.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sample of seven residents’ files that were reviewed, six had lost weight, although one of these people had gained some. A master list of residents’ weights reviewed showed that between 50% and 60% of residents had some weight loss recorded, albeit some was minor, in each of the months from June to August. </w:t>
            </w:r>
          </w:p>
          <w:p w:rsidR="00EB7645" w:rsidRPr="00BE00C7" w:rsidP="00BE00C7">
            <w:pPr>
              <w:pStyle w:val="OutcomeDescription"/>
              <w:spacing w:before="120" w:after="120"/>
              <w:rPr>
                <w:rFonts w:cs="Arial"/>
                <w:b w:val="0"/>
                <w:lang w:eastAsia="en-NZ"/>
              </w:rPr>
            </w:pPr>
            <w:r w:rsidRPr="00BE00C7">
              <w:rPr>
                <w:rFonts w:cs="Arial"/>
                <w:b w:val="0"/>
                <w:lang w:eastAsia="en-NZ"/>
              </w:rPr>
              <w:t>Because of the positive factors of nutritious food being provided, ongoing monitoring of residents’ weights and interventions from health professionals when required, it was not possible during the audit to make direct causal links regarding the higher than expected number of residents losing weight in such a facility. A corrective action has been raised as further investigation is considered necessary in view of the data and information around weight loss that was provided and the actions observed in the dining room.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Ongoing monitoring of residents’ weight is occurring and dietary supplements are being used; however, there is an unexplained increase in the number of residents who are losing weight and requiring referral to the GP and/or dietitian.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Systems are reviewed and processes implemented to ensure residents’ weights are maintained at a stable level.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Karadean</w:t>
    </w:r>
    <w:bookmarkEnd w:id="58"/>
    <w:r>
      <w:rPr>
        <w:rFonts w:cs="Arial"/>
        <w:sz w:val="16"/>
        <w:szCs w:val="20"/>
      </w:rPr>
      <w:tab/>
      <w:t xml:space="preserve">Date of Audit: </w:t>
    </w:r>
    <w:bookmarkStart w:id="59" w:name="AuditStartDate1"/>
    <w:r>
      <w:rPr>
        <w:rFonts w:cs="Arial"/>
        <w:sz w:val="16"/>
        <w:szCs w:val="20"/>
      </w:rPr>
      <w:t>3 October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