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Udian Holdings Limited - Glencoe Resthome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Udian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Glencoe Resthome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July 2017</w:t>
      </w:r>
      <w:bookmarkEnd w:id="7"/>
      <w:r w:rsidRPr="009418D4">
        <w:rPr>
          <w:rFonts w:cs="Arial"/>
        </w:rPr>
        <w:tab/>
        <w:t xml:space="preserve">End date: </w:t>
      </w:r>
      <w:bookmarkStart w:id="8" w:name="AuditEndDate"/>
      <w:r w:rsidR="00A4268A">
        <w:rPr>
          <w:rFonts w:cs="Arial"/>
        </w:rPr>
        <w:t>18 July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Glencoe Rest Home is one of two facilities owned by Udian Holdings Ltd. Glencoe Rest Home provides rest home level care for up to 15 residents. There are 14 residents receiving care at the time of this audit.</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provider’s contract with the district health board. The audit process included the review of policies and procedures, a review of residents’ and staff files, observations, and interviews with residents, family members, the manager, staff, the owner/director and the general practitioner. Feedback from residents and families/whānau members was positive about the care and services provided. </w:t>
      </w:r>
    </w:p>
    <w:p w:rsidRPr="00A4268A">
      <w:pPr>
        <w:spacing w:before="240" w:line="276" w:lineRule="auto"/>
        <w:rPr>
          <w:rFonts w:eastAsia="Calibri"/>
        </w:rPr>
      </w:pPr>
      <w:r w:rsidRPr="00A4268A">
        <w:rPr>
          <w:rFonts w:eastAsia="Calibri"/>
        </w:rPr>
        <w:t>The seven areas requiring improvements from the previous audit have been addressed by the service and are now fully attained. There is one new area identified for improvement from this audit related to essential notifications.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demonstrates residents’ rights to full and frank information and open disclosure principles are met. Independent interpreter services are accessible; however, family normally are used wherever necessary to ensure good lines of communication are maintained with residents. </w:t>
      </w:r>
    </w:p>
    <w:p w:rsidRPr="00A4268A">
      <w:pPr>
        <w:spacing w:before="240" w:line="276" w:lineRule="auto"/>
        <w:rPr>
          <w:rFonts w:eastAsia="Calibri"/>
        </w:rPr>
      </w:pPr>
      <w:r w:rsidRPr="00A4268A">
        <w:rPr>
          <w:rFonts w:eastAsia="Calibri"/>
        </w:rPr>
        <w:t>Complaints management is well documented. All processes are undertaken to meet standard requirements. There are no open complaints at the time of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organisation's philosophy, mission and vision statements are identified in the business, quality and risk management plan. The manager ensures service planning covers business strategies for all aspects of service, to meet residents’ needs, and good practice standards.</w:t>
      </w:r>
    </w:p>
    <w:p w:rsidRPr="00A4268A">
      <w:pPr>
        <w:spacing w:before="240" w:line="276" w:lineRule="auto"/>
        <w:rPr>
          <w:rFonts w:eastAsia="Calibri"/>
        </w:rPr>
      </w:pPr>
      <w:r w:rsidRPr="00A4268A">
        <w:rPr>
          <w:rFonts w:eastAsia="Calibri"/>
        </w:rPr>
        <w:t xml:space="preserve">The quality and risk system and processes support effective, timely service delivery. Policies and procedures are developed by an external consultant. The quality management systems include a comprehensive internal audit programme, compliments, complaints management, incident/accident reporting, hazard management, resident satisfaction surveys, and restraint and infection control data collection. Quality and risk management activities and results are shared with the owner/director, staff, residents and families/whānau, as appropriate. Corrective action planning is documented. </w:t>
      </w:r>
    </w:p>
    <w:p w:rsidRPr="00A4268A">
      <w:pPr>
        <w:spacing w:before="240" w:line="276" w:lineRule="auto"/>
        <w:rPr>
          <w:rFonts w:eastAsia="Calibri"/>
        </w:rPr>
      </w:pPr>
      <w:r w:rsidRPr="00A4268A">
        <w:rPr>
          <w:rFonts w:eastAsia="Calibri"/>
        </w:rPr>
        <w:t>New staff have a comprehensive orientation. Staff participate in relevant ongoing education. Applicable staff and contractors maintain current annual practising certificates. Residents and families/whānau confirmed during interview that all their needs and wants were met. The service has a documented rationale for staffing. Staffing numbers, including registered nurse hours, align with contractual requirements.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There have been no changes required to the fire evacuation plan.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and no restraints were in use at the time of audit.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surveillance is undertaken, analysed and results reported and communicated to staff at the staff meetings. Follow-up action is taken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of 14 new residents do not have advance care plans as both residents are new to the facility and the GP is awaiting medical history.  All 14 residents have established and documenting enduring power of attorney requirements. There are processes for residents who are unable to consent and evidence is defined and documented, as relevant, in the resident’s record.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interviewed stated that there are no separate admission agreements for private paying residents.  Two of 14 residents do not have an admission agreement signed due to current unavailability of a designated authority/NOK (one whom is currently overseas), included in this number is the private paying resident.  All 14 residents have notification of appropriate level of care.    Staff were observed to gain consent for day to day care.</w:t>
            </w:r>
          </w:p>
          <w:p w:rsidR="00EB7645" w:rsidRPr="00BE00C7" w:rsidP="00BE00C7">
            <w:pPr>
              <w:pStyle w:val="OutcomeDescription"/>
              <w:spacing w:before="120" w:after="120"/>
              <w:rPr>
                <w:rFonts w:cs="Arial"/>
                <w:b w:val="0"/>
                <w:lang w:eastAsia="en-NZ"/>
              </w:rPr>
            </w:pPr>
            <w:r w:rsidRPr="00BE00C7">
              <w:rPr>
                <w:rFonts w:cs="Arial"/>
                <w:b w:val="0"/>
                <w:lang w:eastAsia="en-NZ"/>
              </w:rPr>
              <w:t>The previous audit identified two areas for improvement as all residents and family members were not informed of the use of security cameras and one resident was unable to open the external gate without assistance.  Both corrective actions have now been addressed and closed.  Informed consent for cameras was evidenced in the admissions agreement, general informed consent and posters throughout the facility.  The external gate now has a push button release accessible to all residents.  Interviews with residents and families confirmed that they were aware of the cameras and were able to access the external gate.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Glencoe Rest Home implements organisational policies and procedures to ensure complaints processes reflect a fair complaints system that complies with the Code. During interview, residents, family/whānau and staff reported their understanding of the complaints process. One family member interviewed confirmed staff and managers had responded promptly to a complaint they had recently made, and all issues raised were resolved to their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maintained and associated records verified. Complaints are investigated and responded to in a timely manner. The shortfall from the last audit has been addressed. Very few complaints are received. There have been no complaints received from the District Health Board, Ministry of Health or Health and Disability Commissioner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Residents and relatives who do not speak English are advised of the availability of an interpreter. The manager advises that family members normally speak English and prefer to be utilised for communication with the residents. The manager notes if the resident is attending health appointments offsite, independent interpreters are utilised where required.</w:t>
            </w:r>
          </w:p>
          <w:p w:rsidR="00EB7645" w:rsidRPr="00BE00C7" w:rsidP="00BE00C7">
            <w:pPr>
              <w:pStyle w:val="OutcomeDescription"/>
              <w:spacing w:before="120" w:after="120"/>
              <w:rPr>
                <w:rFonts w:cs="Arial"/>
                <w:b w:val="0"/>
                <w:lang w:eastAsia="en-NZ"/>
              </w:rPr>
            </w:pPr>
            <w:r w:rsidRPr="00BE00C7">
              <w:rPr>
                <w:rFonts w:cs="Arial"/>
                <w:b w:val="0"/>
                <w:lang w:eastAsia="en-NZ"/>
              </w:rPr>
              <w:t>The two family members of a resident that had limited ability to communicate in English expressed satisfaction with staff and their family member’s communication processes. The family noted staff understood key phrases and body language and contacted the family where applicable for assistance. The resident also indicated satisfaction with services.</w:t>
            </w:r>
          </w:p>
          <w:p w:rsidR="00EB7645" w:rsidRPr="00BE00C7" w:rsidP="00BE00C7">
            <w:pPr>
              <w:pStyle w:val="OutcomeDescription"/>
              <w:spacing w:before="120" w:after="120"/>
              <w:rPr>
                <w:rFonts w:cs="Arial"/>
                <w:b w:val="0"/>
                <w:lang w:eastAsia="en-NZ"/>
              </w:rPr>
            </w:pPr>
            <w:r w:rsidRPr="00BE00C7">
              <w:rPr>
                <w:rFonts w:cs="Arial"/>
                <w:b w:val="0"/>
                <w:lang w:eastAsia="en-NZ"/>
              </w:rPr>
              <w:t>Three family members interviewed confirmed that they are kept informed of their relative’s wellbeing including any incidents adversely affecting their relative and were happy with the timeframes that this occurred. Evidence of timely open disclosure was seen in the residents’ progress notes and accident/incident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Glencoe Rest Home has a documented mission statement, philosophy and values that is focused around the provision of individualised, quality care in a warm, loving environment. The manager lives on site and is confirmed being readily available to residents and family.</w:t>
            </w:r>
          </w:p>
          <w:p w:rsidR="00EB7645" w:rsidRPr="00BE00C7" w:rsidP="00BE00C7">
            <w:pPr>
              <w:pStyle w:val="OutcomeDescription"/>
              <w:spacing w:before="120" w:after="120"/>
              <w:rPr>
                <w:rFonts w:cs="Arial"/>
                <w:b w:val="0"/>
                <w:lang w:eastAsia="en-NZ"/>
              </w:rPr>
            </w:pPr>
            <w:r w:rsidRPr="00BE00C7">
              <w:rPr>
                <w:rFonts w:cs="Arial"/>
                <w:b w:val="0"/>
                <w:lang w:eastAsia="en-NZ"/>
              </w:rPr>
              <w:t>The manager monitors the progress in achieving goals via day to day activities, resident / family feedback and monitoring of the results of quality and risk activities. The day to day operations and ensuring the wellbeing of residents is now (as of January 2016) the responsibility of the manager. The manager has worked at Glencoe since the owner / director purchased the rest home, and prior to this, has worked in a range of information technology / communication roles both in New Zealand and overseas. Prior to January 2016, the owner / director was responsible for services. The letter communicating the change in manager to HealthCert at the Ministry of Health was sighted. The manager participates in relevant ongoing education as required to meet the provider’s contract with Counties Manukau District Health Board (CMDHB). This includes participating in the aged related care industry meetings. The shortfall from the last audit has been addressed. The owner / director was interviewed by telephone and confirmed having conversations with the manger on at least a daily basis and sooner where required and verified being fully informed of business and quality and risk issues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Since the last audit there has been some refurbishment of the facility. New flooring has been placed in the manager’s office, kitchen and dining room. Some of the bedrooms have been repainted. This aligns with facility goals.</w:t>
            </w:r>
          </w:p>
          <w:p w:rsidR="00EB7645" w:rsidRPr="00BE00C7" w:rsidP="00BE00C7">
            <w:pPr>
              <w:pStyle w:val="OutcomeDescription"/>
              <w:spacing w:before="120" w:after="120"/>
              <w:rPr>
                <w:rFonts w:cs="Arial"/>
                <w:b w:val="0"/>
                <w:lang w:eastAsia="en-NZ"/>
              </w:rPr>
            </w:pPr>
            <w:r w:rsidRPr="00BE00C7">
              <w:rPr>
                <w:rFonts w:cs="Arial"/>
                <w:b w:val="0"/>
                <w:lang w:eastAsia="en-NZ"/>
              </w:rPr>
              <w:t>An experienced registered nurse was employed in April 2017 who is responsible for clinical services (the clinical co-ordinator). She works 20 hours a week on site, normally Monday, Tuesday, Thursday and Fridays. The clinical coordinator (CC) is on call at all times when not on site. The CC has a current annual practising certificate (APC), and reported having just completed the ongoing interRAI competency requirements. However, in the interim another registered Nurse (RN) has been contracted to assist with interRAI assessments. The hours worked depends on the number of new residents and number of residents requiring review. This RN was interviewed and provided an overview of responsibilities including how the contracted RN obtained information on the residents for the interRAI assessment processes. The hours for interRAI assessment were additional to the employed clinical coordinator hours.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contract with CMDHB for the provision of aged related long-term support, chronic health conditions and residential and respite services. There is a separate contract being negotiated (draft sighted) for a resident who is under 65 years of age with a chronic health condition. All residents have been assessed as requiring rest home level care. This includes one resident under the care of the DHB mental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Glencoe Rest Home has a quality and risk management system which is understood and implemented by service providers. This includes internal audits, satisfaction surveys, incident and accident reporting, health and safety reporting, hazard management, infection control data collection and management, restraint and complaints management. Regular internal audits are conducted and demonstrated a high level of compliance with organisation policy. </w:t>
            </w:r>
          </w:p>
          <w:p w:rsidR="00EB7645" w:rsidRPr="00BE00C7" w:rsidP="00BE00C7">
            <w:pPr>
              <w:pStyle w:val="OutcomeDescription"/>
              <w:spacing w:before="120" w:after="120"/>
              <w:rPr>
                <w:rFonts w:cs="Arial"/>
                <w:b w:val="0"/>
                <w:lang w:eastAsia="en-NZ"/>
              </w:rPr>
            </w:pPr>
            <w:r w:rsidRPr="00BE00C7">
              <w:rPr>
                <w:rFonts w:cs="Arial"/>
                <w:b w:val="0"/>
                <w:lang w:eastAsia="en-NZ"/>
              </w:rPr>
              <w:t>If an issue or deficit is found, a corrective action is put in place to address the situation. Corrective actions are developed and implemented and monitored for effectiveness. Quality information is shared with all staff via shift handover as well as via the monthly staff meetings. The minutes of each meeting were available in the staff office. Staff interviewed verify they are kept well informed of relevant quality and risk information.</w:t>
            </w:r>
          </w:p>
          <w:p w:rsidR="00EB7645" w:rsidRPr="00BE00C7" w:rsidP="00BE00C7">
            <w:pPr>
              <w:pStyle w:val="OutcomeDescription"/>
              <w:spacing w:before="120" w:after="120"/>
              <w:rPr>
                <w:rFonts w:cs="Arial"/>
                <w:b w:val="0"/>
                <w:lang w:eastAsia="en-NZ"/>
              </w:rPr>
            </w:pPr>
            <w:r w:rsidRPr="00BE00C7">
              <w:rPr>
                <w:rFonts w:cs="Arial"/>
                <w:b w:val="0"/>
                <w:lang w:eastAsia="en-NZ"/>
              </w:rPr>
              <w:t>Meetings are held every month with residents to obtain resident feedback on services, food, and activities as well as obtain information for future planning. The minutes of the 2017 meetings were sighted for residents, along with the results of the recent resident satisfaction survey. The feedback from residents in the satisfaction survey was very positive.</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were readily available for staff. Policies have been developed by an external consultant and one paper copy of policies is available for staff. Where amendments are made to policy, a log of changes is maintained. The clinical coordinator is responsible for document control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 and family/whānau interviewed expressed a high level of satisfaction about the services provided at Glencoe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Actual and potential risks are identified in the quality and risk plan. These were reviewed in 2017 when the 2017 annual plan / goals were documented. Staff confirmed that they understood and implemented documented hazard identification processes. The hazard register sighted was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details the required process for reporting incidents and accidents including near miss events. Staff are provided with education on their responsibilities for reporting and managing accidents and incidents during orientation and as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Applicable events are being reported in a timely manner and also disclosed to the resident and or designated next of kin. This was verified by residents and a family member interviewed. A review of reported events including falls, bruising, skin tear and a medicine error, demonstrated that incident reports are completed, investigated and responded to in a timely manner. Changes were made to the resident’s care plan where applicable or a short-term care plan developed where necessary. Staff communicated incidents and events to oncoming staff via the shift handover. A summary of events was discussed with staff at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essential notifications have not occurred. This is an area requiring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Copies of the annual practising certificates (APCs) were sighted for the general practitioner (GP), the three other GPs who provide services in the GP’s absence, and the two registered nurses (RNs).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Recruitment processes includes completing an application form, conducting interviews and reference checks. Police vetting is now occurring for new staff when employed. Staff have a job description on file. The job description / employment contract includes a statement advising staff of privacy / confidentiality requirements. Annual performance appraisals have occurred in the applicable staff files sampled. </w:t>
            </w:r>
          </w:p>
          <w:p w:rsidR="00EB7645" w:rsidRPr="00BE00C7" w:rsidP="00BE00C7">
            <w:pPr>
              <w:pStyle w:val="OutcomeDescription"/>
              <w:spacing w:before="120" w:after="120"/>
              <w:rPr>
                <w:rFonts w:cs="Arial"/>
                <w:b w:val="0"/>
                <w:lang w:eastAsia="en-NZ"/>
              </w:rPr>
            </w:pPr>
            <w:r w:rsidRPr="00BE00C7">
              <w:rPr>
                <w:rFonts w:cs="Arial"/>
                <w:b w:val="0"/>
                <w:lang w:eastAsia="en-NZ"/>
              </w:rPr>
              <w:t>New employees are required to complete an orientation programme relevant to their role. A checklist is utilised to ensure all relevant topics are included. New employees are buddied with senior staff for a number of shifts until the new employee is able to safely work on their own. The shortfall from the last audit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A staff education programme is in place with in-service education provided monthly. The topics are scheduled over a two-year period and align with Glencoe Rest Home’s contract with CMDHB. Education provided in 2017 includes (but is not limited to); fire safety, abuse and neglect, emergency events, communication, professionalism, documentation, food safety, advocacy services, the Code of Rights, and cultural safety. Staff can also attend relevant external education. Records of education are maintained and copies of some education certificates are present in the staff files reviewed.  Three caregivers have completed an industry approved qualification at level two, and another caregiver has a qualification with equivalency verified at level three.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details staffing levels and skill mix requirements and this aligns with the requirements of the provider’s contract with Counties Manukau District Health Board (CMDHB). </w:t>
            </w:r>
          </w:p>
          <w:p w:rsidR="00EB7645" w:rsidRPr="00BE00C7" w:rsidP="00BE00C7">
            <w:pPr>
              <w:pStyle w:val="OutcomeDescription"/>
              <w:spacing w:before="120" w:after="120"/>
              <w:rPr>
                <w:rFonts w:cs="Arial"/>
                <w:b w:val="0"/>
                <w:lang w:eastAsia="en-NZ"/>
              </w:rPr>
            </w:pPr>
            <w:r w:rsidRPr="00BE00C7">
              <w:rPr>
                <w:rFonts w:cs="Arial"/>
                <w:b w:val="0"/>
                <w:lang w:eastAsia="en-NZ"/>
              </w:rPr>
              <w:t>The current roster was reviewed and demonstrated that there is a RN (the clinical coordinator) on duty 20 hours a week, and another contracted RN undertaking interRAI assessments and associated documentation (refer to 1.2.1.). Historic rosters were sighted in a file.</w:t>
            </w:r>
          </w:p>
          <w:p w:rsidR="00EB7645" w:rsidRPr="00BE00C7" w:rsidP="00BE00C7">
            <w:pPr>
              <w:pStyle w:val="OutcomeDescription"/>
              <w:spacing w:before="120" w:after="120"/>
              <w:rPr>
                <w:rFonts w:cs="Arial"/>
                <w:b w:val="0"/>
                <w:lang w:eastAsia="en-NZ"/>
              </w:rPr>
            </w:pPr>
            <w:r w:rsidRPr="00BE00C7">
              <w:rPr>
                <w:rFonts w:cs="Arial"/>
                <w:b w:val="0"/>
                <w:lang w:eastAsia="en-NZ"/>
              </w:rPr>
              <w:t>The manager is on site most days and provides meal services and assists with residents’ care. The manager and the RN is on call when not on site. This was verified by interview with the RN, Manager and caregivers.</w:t>
            </w:r>
          </w:p>
          <w:p w:rsidR="00EB7645" w:rsidRPr="00BE00C7" w:rsidP="00BE00C7">
            <w:pPr>
              <w:pStyle w:val="OutcomeDescription"/>
              <w:spacing w:before="120" w:after="120"/>
              <w:rPr>
                <w:rFonts w:cs="Arial"/>
                <w:b w:val="0"/>
                <w:lang w:eastAsia="en-NZ"/>
              </w:rPr>
            </w:pPr>
            <w:r w:rsidRPr="00BE00C7">
              <w:rPr>
                <w:rFonts w:cs="Arial"/>
                <w:b w:val="0"/>
                <w:lang w:eastAsia="en-NZ"/>
              </w:rPr>
              <w:t>One caregiver works 7am to 3pm, 3pm to 12 pm, and 12 pm to 9 am. A caregiver also facilitates the activities programme with activities planned four days a week. These are undertaken when the manager or another staff member is available / present to provide oversight of residents’ care. Cleaning and laundry duties are shared by caregivers over the 24 hour period. Laundry is washed on site then dried off site at a commercial laundry during the day. Linen is folded by the night caregiver.</w:t>
            </w:r>
          </w:p>
          <w:p w:rsidR="00EB7645" w:rsidRPr="00BE00C7" w:rsidP="00BE00C7">
            <w:pPr>
              <w:pStyle w:val="OutcomeDescription"/>
              <w:spacing w:before="120" w:after="120"/>
              <w:rPr>
                <w:rFonts w:cs="Arial"/>
                <w:b w:val="0"/>
                <w:lang w:eastAsia="en-NZ"/>
              </w:rPr>
            </w:pPr>
            <w:r w:rsidRPr="00BE00C7">
              <w:rPr>
                <w:rFonts w:cs="Arial"/>
                <w:b w:val="0"/>
                <w:lang w:eastAsia="en-NZ"/>
              </w:rPr>
              <w:t>A staff member with a current first aid certificate is on duty at all times. The manager advised that additional staff hours would be allocated to meet the care needs of the residents if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 family member interviewed confirmed their personal and other care needs are being well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was observed on the day of audit. The staff observed demonstrated good knowledge and had a clear understanding of their roles and responsibilities related to each stage of medicine management.  The previous audit identified an area for improvement to ensure that all staff administering medication were medication competent.  This corrective action is now addressed and closed as evidenced in documentation and interviews. The registered nurse and all care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were reviewed and are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self-administers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the facility staff,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Food temperatures, including for high risk items, are monitored appropriately and recorded as part of the plan.  The previous audit identified an area for improvement to ensure that all staff involved with food services have completed approved food safety training.  This corrective action is now addressed and closed and records were available to demonstrate this.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very good.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activity therapist.  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six-monthly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 residents’ goals, ordinary patterns of life and include normal community activities. Individual, group activities and regular events are offered. Residents and families/whanau are involved in evaluating and improving the programme through resident’s meetings. Residents interviewed confirmed they find the programme interactive and meaningful.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The previous audit identified an area for improvement to ensure that relevant information from incidents and accidents is included in the residents’ evaluations.  This corrective action is now addressed and closed.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 updated.  Residents and families/whānau interviewed provided examples of involvement in evaluation of progress and any resulting change.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fitness with an expiry of 16 March 2018. No changes have occurred to the facility with the exception of some renovation / refurbishment activities, including new flooring in the office, kitchen and dining room. Some residents’ bedrooms have been repainted. The fire evacuation plan has not required amendment.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staff are required to take responsibility for surveillance activities as shown in policy. Monitoring is discussed in meetings to reduce and minimise risk and ensure residents’ safety. The RN completes a monthly surveillance report. The service monitors respiratory tract infections, wounds, skin, urinary tract infections, eye infections, gastroenteritis and other infections. The monthly analysis of the infections includes comparison with the previous month, reason for increase or decrease, trends and actions taken to reduce infections. This information is fed back and discussed in staff meetings, and where appropriate, to residents/family members. Additional fluids were provided to residents during summer. Residents are seen by the GP in the event an infection is suspected.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the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either restraints or enablers.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 and minutes of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05"/>
        <w:gridCol w:w="1280"/>
        <w:gridCol w:w="7433"/>
        <w:gridCol w:w="1290"/>
        <w:gridCol w:w="18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identified the type of events that must be reported to external agencies as an essential notification. Documentation including template reporting forms are present in policy manuals. It was identified during discussions that two events requiring essential notification since the previous audit have not been reported. These related to a resident who went absent without leave and this was reported to the police. The resident was subsequently safely returned to the rest home by police several hours later. The death of a resident in early 2017 was reported to the coroner. The manager advises no further information has been received from authorities related to this.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events that required essential notification had not been reported to the DHB or HealthCert (Ministry of Health).</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events that require reporting to the Ministry of Health, District Health Board or other governmental agencies / departments are notified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Udian Holdings Limited - Glencoe Resthome</w:t>
    </w:r>
    <w:bookmarkEnd w:id="58"/>
    <w:r>
      <w:rPr>
        <w:rFonts w:cs="Arial"/>
        <w:sz w:val="16"/>
        <w:szCs w:val="20"/>
      </w:rPr>
      <w:tab/>
      <w:t xml:space="preserve">Date of Audit: </w:t>
    </w:r>
    <w:bookmarkStart w:id="59" w:name="AuditStartDate1"/>
    <w:r>
      <w:rPr>
        <w:rFonts w:cs="Arial"/>
        <w:sz w:val="16"/>
        <w:szCs w:val="20"/>
      </w:rPr>
      <w:t>18 July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