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Elsdon Enterprises Limited - Annaliese Haven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Elsdon Enterprises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Annaliese Haven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August 2017</w:t>
      </w:r>
      <w:bookmarkEnd w:id="7"/>
      <w:r w:rsidRPr="009418D4">
        <w:rPr>
          <w:rFonts w:cs="Arial"/>
        </w:rPr>
        <w:tab/>
        <w:t xml:space="preserve">End date: </w:t>
      </w:r>
      <w:bookmarkStart w:id="8" w:name="AuditEndDate"/>
      <w:r w:rsidR="00A4268A">
        <w:rPr>
          <w:rFonts w:cs="Arial"/>
        </w:rPr>
        <w:t>22 August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Annaliese Haven Rest Home provides rest home and dementia level care for up to 63 residents. The service is operated by a private company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This audit has resulted in the identification of areas requiring improvements relating to care planning, assessments and medication management. Improvements have been made to 13 of the 14 areas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an ongoing basis.  Service delivery plans are individualised, based on a comprehensive range of information and accommodate any new problems that might arise.  Files reviewed demonstrated that the care provided is consistent with the outcomes of a range of assessments and the identification of residents’ needs.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The needs of dementia service residents are being met with multiple examples of one on one support. </w:t>
      </w:r>
    </w:p>
    <w:p w:rsidRPr="00A4268A" w:rsidP="00621629">
      <w:pPr>
        <w:spacing w:before="240" w:line="276" w:lineRule="auto"/>
        <w:rPr>
          <w:rFonts w:eastAsia="Calibri"/>
        </w:rPr>
      </w:pPr>
      <w:r w:rsidRPr="00A4268A">
        <w:rPr>
          <w:rFonts w:eastAsia="Calibri"/>
        </w:rPr>
        <w:t>There are planned processes for the evaluation and review of residents’ short and long-term care plans and for activities plans.</w:t>
      </w:r>
    </w:p>
    <w:p w:rsidRPr="00A4268A" w:rsidP="00621629">
      <w:pPr>
        <w:spacing w:before="240" w:line="276" w:lineRule="auto"/>
        <w:rPr>
          <w:rFonts w:eastAsia="Calibri"/>
        </w:rPr>
      </w:pPr>
      <w:r w:rsidRPr="00A4268A">
        <w:rPr>
          <w:rFonts w:eastAsia="Calibri"/>
        </w:rPr>
        <w:t>Medicines are safely managed and administered by staff who are competent to do so. The medicine management system is supported by the use of an electronic system, which has successfully reduced the incidence of medicine errors as intended.</w:t>
      </w:r>
    </w:p>
    <w:p w:rsidRPr="00A4268A" w:rsidP="00621629">
      <w:pPr>
        <w:spacing w:before="240" w:line="276" w:lineRule="auto"/>
        <w:rPr>
          <w:rFonts w:eastAsia="Calibri"/>
        </w:rPr>
      </w:pPr>
      <w:r w:rsidRPr="00A4268A">
        <w:rPr>
          <w:rFonts w:eastAsia="Calibri"/>
        </w:rPr>
        <w:t>Meals are prepared on site according to a four-weekly rotating menu that has been approved by a dietitian. Residents with special dietary needs or personal preferences have these met. Food is being safely managed during storage and preparation processes. Residents and family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The facility meets the needs of residents and external areas are accessible, safe and provide shade and seating. Chemicals, soiled linen and equipment are safely stored. Staff are trained in emergency procedures, have access to emergency equipment and supplies and attend regular fire drills.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are in use at the time of audit.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records demonstrates that written consent is obtained where required meeting a previous required improvement. All consent forms reviewed are consistent with legislative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are documented and completed within the timeframes.  Action plans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All staff interviewed confirmed a sound understanding of the complaint process and what actions are required. T</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complaints received from external sources since the previous audit.  One was resolved immediately to the satisfaction of the complainant. The previous 2016 complaint was resolved in May 2017 with four recommendations all implemented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 annual and longer-term objectives and the associated operational plans. A sample of monthly reports to the owners showed adequate information to monitor performance is reported including occupancy rates, staffing and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holds relevant qualifications and has been in the role for two years. Responsibilities and accountabilities are defined in a job description and individual employment agreement.  The facility manager confirms knowledge of the sector, regulatory and reporting requirements and maintains currency through attending sector meetings and quality seminars.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DHB for respite, rest home and dementia care.  Forty-seven residents were receiving services under the contract at the time of audit. There were 20 rest home level residents, including one on respite, and twenty-seven residents in the dementia service, also included one respite. There were no residents at hospital level, although dispensation for a resident had previously been granted, the resident was no longer at the facility. The provider intends to reconfigure the service to increase rest home and reduce the number of dementia beds with an overall reduction of two beds. The alterations have not commenced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an annual resident satisfaction survey, monitoring of outcomes, and clinical incidents including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Meeting minutes reviewed confirmed regular review and analysis of quality indicators and that related information is reported and discussed at the quality and risk team meetings and staff meetings. Staff reported their involvement in quality and risk management activities through audit activities, and feedback via staff meetings. Relevant corrective actions are developed and implemented to address any shortfalls. Resident and family satisfaction surveys are completed annually. The most recent survey showed a high level of satisfaction with resident care. As the surveys have only recently returned (July), a full analysis has not yet occurred.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quality meetings and the owners within a monthly report.</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essential notification reporting requirements,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now has the required training and experience required, meeting a previous required improvement.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Staff working in the dementia care area have either completed or are enrolled in the required education. There are sufficient trained and competent registered nurses who are maintaining their annual competency requirements to undertake interRAI assessments. At least one staff member on duty has a current first aid certificate. Records reviewed demonstrated completion of the required training and completion of annual performance appraisals addressing a previous shortfall.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a four-week roster cycle confirmed adequate staff cover has been provided, with staff replaced in any unplanned absence.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Overall, the medication management policy is current and identifies all aspects of medicine management in line with the Medicines Care Guide for Residential Aged Care. However, the documents do not reflect the current electronic medication system currently in place and this has been raised for corrective action. Although this is a new corrective action it is of low risk as a full ‘One Chart’ manual is available, and all staff using it have been fully trained in its use. Hence, a reduced timeframe has been allocated to ensure this is addressed promptly. Previous medicine related issues that were raised for corrective action at the last audit had been satisfactorily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Use of the electronic medicine management system management was observed on the day of audit. The staff person observed and the clinical care manager demonstrated good knowledge and had a clear understanding of their roles and responsibilities related to each stage of medicine management.  According to staff training records,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Two nurses check the medications against the prescription on arrival at the facility and there were signed records of this practice. All medications sighted were within current use by dates and the process for removing medicines that are out of date, or no longer required was described. Clinical pharmacist input is provided monthly, including for verification of the controlled drug records.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two medicine fridges were reviewed and had been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Use of the electronic medicine management system is ensuring good prescribing practices are being upheld. The required three-monthly GP review is consistently recorded on the medicine record and in resident’s personal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were self-administering their medications at the time of audit. Appropriate processes are in place to ensure this is managed in a safe manner with three monthly competency reviews by the person’s GP and the person administering medicines double checks that the medicine has been taken.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 and appropriate actions are taken when this is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followed by a dietary profile, is completed for all residents on admission and these were sighted in residents’ files. Kitchen staff informed during interview that they are provided with documentation about specific dietary needs of residents and that staff update these when necessary. Records of this information were sighted, as was a white board with individual likes and dislikes listed on it. Examples of specific needs included vegetarian food, awareness of a person with diabetes and changes in food textures such as soft or moulied food. Residents who were able to respond, confirmed their food needs are being met. The previous corrective action related to the needs of residents with specific dietary requirements has been addressed with implementation of these systems. </w:t>
            </w:r>
          </w:p>
          <w:p w:rsidR="00EB7645" w:rsidRPr="00BE00C7" w:rsidP="00BE00C7">
            <w:pPr>
              <w:pStyle w:val="OutcomeDescription"/>
              <w:spacing w:before="120" w:after="120"/>
              <w:rPr>
                <w:rFonts w:cs="Arial"/>
                <w:b w:val="0"/>
                <w:lang w:eastAsia="en-NZ"/>
              </w:rPr>
            </w:pPr>
            <w:r w:rsidRPr="00BE00C7">
              <w:rPr>
                <w:rFonts w:cs="Arial"/>
                <w:b w:val="0"/>
                <w:lang w:eastAsia="en-NZ"/>
              </w:rPr>
              <w:t>Food services are provided on site by a team of kitchen workers who share cook and kitchenhand duties. The menu rotates every four weeks, has been reviewed by a qualified dietitian within the last two years and its components have been confirmed as being in line with recognised nutritional guidelines for older people. Although the master menu is used throughout the year, the cook described how variations are added when relevant such as for celebrations and additional salads being added in summer.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Food temperatures, including for high risk items, are monitored appropriately and recorded as part of the plan. This is occurring in both serving areas. Fridge temperatures are checked and recorded with actions taken when they read outside expected parameters, food is dated when not used immediately and frozen goods are sealed. Kitchen staff have completed training in safe food handling practices. A corrective action raised at the previous audit around unsatisfactory aspects of food management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Sandwiches, baking and fruit are available over a 24-hour period and staff may provide these to any resident if the person is hungry or unsettled. Residents were seen to be given sufficient time to eat their meal in an unhurried fashion and those requiring assistance had this provided. Feedback about the meals from residents and relatives was positive with more than one comment about it being ‘just like we had at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had a completed initial interRAI assessment on file. A range of assessment processes are now being used to identify the needs, outcomes and/or goals of the residents. These include for falls risk, nutrition, pressure area risk, pain and behavioural characteristics. The information obtained is being used to guide the interventions in service delivery plans and in behavioural management plans. Issues of concern around assessment processes that were raised at the last audit were no longer apparent, although there is a gap in some re-assessments for six monthly reviews, which has been raised in the corrective action under criterion 1.3.8.2.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corrective action was raised at the last audit as a number of residents did not have satisfactory care plans. This is no longer an issue as all residents had a care plan. Likewise, the need for use of a Maori model of health, such as Te Whare Tapa Wha is no longer an issue, as it is clearly documented in the care plan of all who identify as Maori as to whether the person’s relative considers this will be a useful tool for the resident concerned. All residents’ plans reviewed reflected the support needs of residents and the outcomes of the integrated assessment process and other relevant clinical information. The needs identified by the interRAI assessments were reflected in the goals and interventions in the care plans and activity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However, active short-term care plans, food and fluid charts, continence and voiding records, sleep charts, behaviour charts, turning/position shifting and bowel charts are not integrated into the wider personal file until they are finished with and archived. This has been raised for corrective 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This was especially evident in the two tracers undertaken and in the extended sample. Staff were observed to respond appropriately to physical and emotional changes in residents on more than one occasion throughout the audit. Through their interventions, staff are meeting a diverse range of resident’s individualised needs and this was evident in both the rest home and dementia services. Family/whanau spoke of the sensitivity of staff and the gentle handling of their loved ones.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GP interviewed, verified that medical input is sought in a timely manner, that as far as he knows medical orders are always followed through, and care is ‘fantastic, especially considering the challenges that go with providing dementia care in the same facility as rest home care is provided’.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and according to instructions from registered nurses. The importance of the activities team was noted by residents, and families/whanau and care staff. Importance of the environment and changes made to accommodate the needs of current residents was discussed with the clinical care manager who is also ensuring that suitable equipment and resources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holding the national Certificate in Diversional Therapy, one trainee and one assistant.</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A four-week programme was on display and included a range of activities varying in nature from cultural/spiritual, social, intellectual, physical, community and personal. The diversional therapist noted this is changed each month and may vary according to the season or if there is any special celebration. New documentation has been implemented for residents’ activity plans and the individual plans are being completed in a comprehensive manner with clear goals and interventions. Individual records of attendances at activities are being kept and three monthly narrative reviews about their participation are documented. Twenty four hour activity plans are in place for residents and the activity needs of residents are evaluated as part of their formal six monthly care plan review.  There are some gaps in these review systems as noted in the corrective action for criterion 1.3.8.2.</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 residents’ goals, ordinary patterns of life and include normal community activities. Individual, group activities and regular events are offered. Residents and families/whānau are asked for comment about the programme and family members may be involved at the level they choose. One family member reported such involvement and the increased insight this had provided. Residents interviewed, and who were able to respond, confirmed they find the programme diverse and that there is always something interesting to do.</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there. Activities are offered at times when residents are most physically active and/or restless such as evenings, or according to individual characteristics.  This includes music, reading, walks, one on one engagements and simple household tasks. Staff were observed coordinating activities and there was good evidence that the residents were interested and participating at their level of ability. There were signs of contentment and involvement.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residents’ individual progress notes.  If any change is noted, it is reported to the registered nurse and included in the verbal handover that occurs between staff on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and as residents’ needs change.  Records sighted demonstrated that not all required review processes have been completed within the required timeframes, which was an issue raised at the previous audit. Although efforts have been made to remedy this situation, the team has not yet achieved the expected results and the corrective action remains open.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short term care plans being consistently reviewed and progress evaluated as clinically indicated were sighted for infections, skin tears and weight changes.  When necessary, and for unresolved problems, long term care plans are subsequently added to and updated.  There was evidence in family communication records in residents’ files that families/whanau are invited to multidisciplinary meetings for the review of service delivery plans. A family member informed of examples where staff have involved them in the interventions and review processes and the GP noted that families are contacted after his visits and updated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June 2018) is publicly displayed.  External areas are now safely maintained and are appropriate to the resident groups and setting, addressing a previous required improvement. All external areas, including the smoking area, are freely accessible during the day and electronically secured at night. Family and residents confirmed and were observed accessing the outside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and laundry processes, dirty/clean flow and handling of soiled linen now meets recommended guidelines and policies. Trolleys are observed to be covered, addressing a previous shortfall. During interview cleaning staff confirmed this is a consistent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now has access to alternative energy and utility sources in the event of the main supplies failing, addressing a previous shortfall. There is sufficient stored water in case of emergency, door locking mechanism ensures the building remains secure, and first aid kits have content lists and these are regularly checked. This addresses previous required improvements.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 quality committee and the owner.  Data is benchmarked externally with other aged care providers.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or enablers. The last use of bedrails as an enabler was 20 August 2017. The facility has not used restraints.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8"/>
        <w:gridCol w:w="1280"/>
        <w:gridCol w:w="6690"/>
        <w:gridCol w:w="2764"/>
        <w:gridCol w:w="15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practices around medicine management including safe and appropriate prescribing, dispensing, administration, review, storage, disposal, and medicine reconciliation comply with legislation, protocols, and guidelines and reflected good practice. Medicine management policies and procedures had been reviewed in March 2017 and were therefore current. However, it was observed that these documents do not reflect the use of One Chart, an electronic medicine management system that is currently in use.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current medicine management policy and procedure does not include the organisation’s use of One Chart for the administration of medications.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medicine management policy and procedures need to reflect the electronic medicine management system currently in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1.3.5.3</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demonstrate service integration.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diary currently in use is being used to assist with the handover process and includes a list of clients and in some cases a full progress report on the status and ongoing interventions for residents. This is not only compromising resident confidentiality but is also dividing records between residents’ personal notes and a second form of record, which is not consistent with the requirement for an integrated record.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addition, each resident has a folder for their records that contains personal information, interRAI assessment documents, medical notes, the care plan and activity plan, test results and referral letters for example. A separate folder holds collective records with a range of other personal information that includes active short-term care plans, food and fluid charts, continence and voiding records, sleep charts, behaviour charts, turning/position shifting and bowel charts. It is understood from staff that this collective information system has meant these documents are now filled in as required, whereas this was not happening when in their folders. Although the records are archived into the person’s folder, the extent of the separation of this personal information is not enabling a true integrated record intended to ensure fully individualised care for each resident.  Although there was no evidence to suggest that residents’ care is compromised from this practice, the potential is there, and therefore the need for service delivery plans to demonstrate service integration is an area for review and corrective action.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standard requires that service delivery plans demonstrate service integration. A registered nurse diary contains lists of residents’ names followed by the equivalent of progress reports against them, rather than prompting the staff to refer to the resident’s record. In addition, residents’ personal documents including short term care plans, behaviour charts, continence records and nutrition records are held in a single folder, rather than in the person’s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service delivery plans are structured in such a manner that demonstrates service integration and ensures personalised and individualised care will be consistently delivered.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care manager described the task since she took on the role just over a year ago of bringing the evaluation and review processes up to date and ensuring all residents have a current care plan. This created a significant workload. Systems have been restructured and there was evidence of progress having been made towards ensuring interRAI assessments for evaluation and review processes are up to date and that long and short term care plans are updated. Staff were familiar with the needs of individuals and positive feedback about the level of care provided was forthcoming. However, there are still overdue six monthly interRAI assessments, outstanding care plan evaluations/reviews and old versions of non-compliant 24-hour activity plans that need to be updated.  The corrective action raised at the previous audit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key evaluation and review processes including interRAI re-assessments, service delivery plan reviews and 24-hour activity plans (dementia service) are current.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and review processes are undertaken within required timeframes to ensure all residents have a current interRAI assessment, a current service delivery plan and that dementia residents have a 24 hour activity plan that meets contractual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Elsdon Enterprises Limited - Annaliese Haven Rest Home</w:t>
    </w:r>
    <w:bookmarkEnd w:id="58"/>
    <w:r>
      <w:rPr>
        <w:rFonts w:cs="Arial"/>
        <w:sz w:val="16"/>
        <w:szCs w:val="20"/>
      </w:rPr>
      <w:tab/>
      <w:t xml:space="preserve">Date of Audit: </w:t>
    </w:r>
    <w:bookmarkStart w:id="59" w:name="AuditStartDate1"/>
    <w:r>
      <w:rPr>
        <w:rFonts w:cs="Arial"/>
        <w:sz w:val="16"/>
        <w:szCs w:val="20"/>
      </w:rPr>
      <w:t>22 August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